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b/>
          <w:bCs/>
        </w:rPr>
        <w:t xml:space="preserve">A.  </w:t>
      </w:r>
      <w:r>
        <w:rPr/>
        <w:t>To the extent that Glendale communicates with the ISO at all, it does so via its partner Coral Energy.  Coral acts as an interface between the ISO and Glendale schedulers.</w:t>
      </w:r>
    </w:p>
    <w:p>
      <w:pPr>
        <w:pStyle w:val="Normal"/>
        <w:spacing w:lineRule="auto" w:line="480"/>
        <w:rPr>
          <w:b/>
          <w:bCs/>
        </w:rPr>
      </w:pPr>
      <w:r>
        <w:rPr>
          <w:b/>
          <w:bCs/>
        </w:rPr>
        <w:t>Q.  Does Glendale have the communications infrastructure to directly provide the ISO with schedules pursuant to ISO scheduling procedures?</w:t>
      </w:r>
    </w:p>
    <w:p>
      <w:pPr>
        <w:pStyle w:val="Normal"/>
        <w:spacing w:lineRule="auto" w:line="480"/>
        <w:rPr/>
      </w:pPr>
      <w:r>
        <w:rPr>
          <w:b/>
          <w:bCs/>
        </w:rPr>
        <w:t xml:space="preserve">A. </w:t>
      </w:r>
      <w:r>
        <w:rPr/>
        <w:t xml:space="preserve"> No.  Glendale is able to schedule within the ISO scheduling protocols only through the above mentioned relationship with Coral.</w:t>
      </w:r>
      <w:r>
        <w:rPr>
          <w:b/>
          <w:bCs/>
        </w:rPr>
        <w:t xml:space="preserve">  </w:t>
      </w:r>
    </w:p>
    <w:p>
      <w:pPr>
        <w:pStyle w:val="Heading2"/>
        <w:spacing w:lineRule="auto" w:line="480"/>
        <w:ind w:hanging="0" w:start="0"/>
        <w:rPr>
          <w:b/>
          <w:bCs w:val="false"/>
          <w:u w:val="single"/>
        </w:rPr>
      </w:pPr>
      <w:r>
        <w:rPr>
          <w:b/>
          <w:bCs w:val="false"/>
          <w:u w:val="single"/>
        </w:rPr>
        <w:t>OVERVIEW OF GLENDALE’S TRANSACTIONS WITH THE ISO</w:t>
      </w:r>
    </w:p>
    <w:p>
      <w:pPr>
        <w:pStyle w:val="Normal"/>
        <w:spacing w:lineRule="auto" w:line="480"/>
        <w:rPr>
          <w:b/>
          <w:bCs/>
        </w:rPr>
      </w:pPr>
      <w:r>
        <w:rPr>
          <w:b/>
          <w:bCs/>
        </w:rPr>
        <w:t>Q.  Describe the nature of the sales that Glendale made to the ISO from October 2, 2000 through June 20, 2001.</w:t>
      </w:r>
    </w:p>
    <w:p>
      <w:pPr>
        <w:pStyle w:val="Normal"/>
        <w:spacing w:lineRule="auto" w:line="480"/>
        <w:rPr/>
      </w:pPr>
      <w:r>
        <w:rPr/>
        <w:t>A.  All sales to the CAISO were made in structured CAISO markets in accordance with the ISO Tariff, through Coral, which provided Glendale with certain Scheduling Coordinator type services.  The ISO accounted for these sales under the Glendale Scheduling Coordinator Identifier.  Settlements for these transactions were made between Glendale and the ISO.  Glendale’s transactions with the ISO consisted of Day Ahead and Hour Ahead Ancillary Services sales as well as Instructed and Uninstructed energy transactions (Upper case terms are defined in the CAISO Tariff).</w:t>
      </w:r>
      <w:r>
        <w:rPr>
          <w:b/>
          <w:bCs/>
          <w:i/>
          <w:iCs/>
        </w:rPr>
        <w:t xml:space="preserve">  </w:t>
      </w:r>
      <w:r>
        <w:rPr/>
        <w:t xml:space="preserve">I have attached a table summarizing these transactions for the period during which the DOE Orders were effective.  (Exhibit No. GLN-3).  It should be noted that the Glendale data and CAISO data do not always agree with respect to these sales. </w:t>
      </w:r>
    </w:p>
    <w:p>
      <w:pPr>
        <w:pStyle w:val="Normal"/>
        <w:spacing w:lineRule="auto" w:line="480"/>
        <w:rPr/>
      </w:pPr>
      <w:r>
        <w:rPr/>
        <w:t>Glendale’s sales on the days that the ISO filed certifications with the DOE (34 days).</w:t>
      </w:r>
    </w:p>
    <w:tbl>
      <w:tblPr>
        <w:tblW w:w="9216" w:type="dxa"/>
        <w:jc w:val="start"/>
        <w:tblInd w:w="0" w:type="dxa"/>
        <w:tblLayout w:type="fixed"/>
        <w:tblCellMar>
          <w:top w:w="0" w:type="dxa"/>
          <w:start w:w="108" w:type="dxa"/>
          <w:bottom w:w="0" w:type="dxa"/>
          <w:end w:w="108" w:type="dxa"/>
        </w:tblCellMar>
      </w:tblPr>
      <w:tblGrid>
        <w:gridCol w:w="2304"/>
        <w:gridCol w:w="2304"/>
        <w:gridCol w:w="2304"/>
        <w:gridCol w:w="2304"/>
      </w:tblGrid>
      <w:tr>
        <w:trPr/>
        <w:tc>
          <w:tcPr>
            <w:tcW w:w="230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Glendale’s Sales to the ISO</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Energy</w:t>
            </w:r>
          </w:p>
          <w:p>
            <w:pPr>
              <w:pStyle w:val="Normal"/>
              <w:jc w:val="center"/>
              <w:rPr>
                <w:b/>
                <w:bCs/>
              </w:rPr>
            </w:pPr>
            <w:r>
              <w:rPr>
                <w:b/>
                <w:bCs/>
              </w:rPr>
              <w:t>MWh</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Ancillary Services</w:t>
            </w:r>
          </w:p>
          <w:p>
            <w:pPr>
              <w:pStyle w:val="Normal"/>
              <w:jc w:val="center"/>
              <w:rPr>
                <w:b/>
                <w:bCs/>
              </w:rPr>
            </w:pPr>
            <w:r>
              <w:rPr>
                <w:b/>
                <w:bCs/>
              </w:rPr>
              <w:t xml:space="preserve">MWh </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Total</w:t>
            </w:r>
          </w:p>
        </w:tc>
      </w:tr>
      <w:tr>
        <w:trPr/>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Glendale’s Sales to ISO During Refund Period</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1,858</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73,779</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75,637</w:t>
            </w:r>
          </w:p>
        </w:tc>
      </w:tr>
      <w:tr>
        <w:trPr/>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Glendale’s Sales to the ISO During the Period the DOE Orders Were In Effect 12/14/00 thru 2/6/01</w:t>
            </w:r>
          </w:p>
          <w:p>
            <w:pPr>
              <w:pStyle w:val="Normal"/>
              <w:rPr/>
            </w:pPr>
            <w:r>
              <w:rPr/>
              <w:t>(55 days)</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1,478</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62,040</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63,518</w:t>
            </w:r>
          </w:p>
        </w:tc>
      </w:tr>
      <w:tr>
        <w:trPr/>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Burbank’s Sales to the ISO On Days the ISO Filed Certifications With the DOE</w:t>
            </w:r>
          </w:p>
          <w:p>
            <w:pPr>
              <w:pStyle w:val="Normal"/>
              <w:rPr/>
            </w:pPr>
            <w:r>
              <w:rPr/>
              <w:t>(34 days)</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994</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27,887</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28,881</w:t>
            </w:r>
          </w:p>
        </w:tc>
      </w:tr>
    </w:tbl>
    <w:p>
      <w:pPr>
        <w:pStyle w:val="Normal"/>
        <w:spacing w:lineRule="auto" w:line="480"/>
        <w:rPr/>
      </w:pPr>
      <w:r>
        <w:rPr/>
      </w:r>
    </w:p>
    <w:sectPr>
      <w:headerReference w:type="default" r:id="rId2"/>
      <w:headerReference w:type="first" r:id="rId3"/>
      <w:footerReference w:type="default" r:id="rId4"/>
      <w:footerReference w:type="first" r:id="rId5"/>
      <w:type w:val="nextPage"/>
      <w:pgSz w:w="12240" w:h="15840"/>
      <w:pgMar w:left="1800" w:right="1440" w:gutter="0" w:header="720" w:top="1440" w:footer="720" w:bottom="1584"/>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GLN-1</w:t>
    </w:r>
  </w:p>
  <w:p>
    <w:pPr>
      <w:pStyle w:val="Header"/>
      <w:rPr/>
    </w:pPr>
    <w:r>
      <w:rPr>
        <w:b/>
        <w:bCs/>
        <w:sz w:val="20"/>
      </w:rPr>
      <w:t xml:space="preserve">Docket No. EL00-95-045 </w:t>
    </w:r>
    <w:r>
      <w:rPr>
        <w:b/>
        <w:bCs/>
        <w:i/>
        <w:iCs/>
        <w:sz w:val="20"/>
      </w:rPr>
      <w:t>et 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GLN-1</w:t>
    </w:r>
  </w:p>
  <w:p>
    <w:pPr>
      <w:pStyle w:val="Header"/>
      <w:rPr/>
    </w:pPr>
    <w:r>
      <w:rPr>
        <w:b/>
        <w:bCs/>
        <w:sz w:val="20"/>
      </w:rPr>
      <w:t xml:space="preserve">Docket No. EL00-95-045 </w:t>
    </w:r>
    <w:r>
      <w:rPr>
        <w:b/>
        <w:bCs/>
        <w:i/>
        <w:iCs/>
        <w:sz w:val="20"/>
      </w:rPr>
      <w:t>et 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 w:hAnsi="Century Schoolbook" w:cs="Century Schoolbook"/>
      </w:rPr>
    </w:lvl>
    <w:lvl w:ilvl="1">
      <w:start w:val="1"/>
      <w:pStyle w:val="Heading2"/>
      <w:numFmt w:val="upperLetter"/>
      <w:lvlText w:val="%2."/>
      <w:lvlJc w:val="start"/>
      <w:pPr>
        <w:tabs>
          <w:tab w:val="num" w:pos="720"/>
        </w:tabs>
        <w:ind w:start="72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4">
    <w:name w:val="heading 4"/>
    <w:basedOn w:val="Normal"/>
    <w:next w:val="Normal"/>
    <w:qFormat/>
    <w:pPr>
      <w:keepNext w:val="true"/>
      <w:spacing w:before="240" w:after="60"/>
      <w:outlineLvl w:val="3"/>
    </w:pPr>
    <w:rPr>
      <w:bCs/>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entury Schoolbook" w:hAnsi="Century Schoolbook" w:cs="Century Schoolbook"/>
      <w:sz w:val="24"/>
    </w:rPr>
  </w:style>
  <w:style w:type="character" w:styleId="WW8Num12z3">
    <w:name w:val="WW8Num12z3"/>
    <w:qFormat/>
    <w:rPr/>
  </w:style>
  <w:style w:type="character" w:styleId="WW8Num13z0">
    <w:name w:val="WW8Num13z0"/>
    <w:qFormat/>
    <w:rPr>
      <w:rFonts w:ascii="Century Schoolbook" w:hAnsi="Century Schoolbook" w:cs="Century Schoolbook"/>
      <w:b w:val="false"/>
      <w:i w:val="false"/>
      <w:sz w:val="24"/>
    </w:rPr>
  </w:style>
  <w:style w:type="character" w:styleId="WW8Num13z1">
    <w:name w:val="WW8Num13z1"/>
    <w:qFormat/>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character" w:styleId="Hd3">
    <w:name w:val="Hd 3"/>
    <w:qFormat/>
    <w:rPr>
      <w:rFonts w:ascii="Arial" w:hAnsi="Arial" w:cs="Arial"/>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2001-11-26T12:45:00Z</dcterms:created>
  <dc:creator>JRS</dc:creator>
  <dc:description/>
  <dc:language>en-CA</dc:language>
  <cp:lastModifiedBy> </cp:lastModifiedBy>
  <cp:lastPrinted>2001-11-26T10:17:00Z</cp:lastPrinted>
  <dcterms:modified xsi:type="dcterms:W3CDTF">2001-11-26T12:51:00Z</dcterms:modified>
  <cp:revision>3</cp:revision>
  <dc:subject/>
  <dc:title>UNITED STATES OF AMERICA</dc:title>
</cp:coreProperties>
</file>