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26, 2001</w:t>
      </w:r>
    </w:p>
    <w:p>
      <w:pPr>
        <w:pStyle w:val="Normal"/>
        <w:rPr>
          <w:bCs/>
        </w:rPr>
      </w:pPr>
      <w:r>
        <w:rPr>
          <w:bCs/>
        </w:rPr>
      </w:r>
    </w:p>
    <w:p>
      <w:pPr>
        <w:pStyle w:val="Normal"/>
        <w:rPr>
          <w:bCs/>
        </w:rPr>
      </w:pPr>
      <w:r>
        <w:rPr>
          <w:bCs/>
        </w:rPr>
      </w:r>
    </w:p>
    <w:p>
      <w:pPr>
        <w:pStyle w:val="Normal"/>
        <w:rPr>
          <w:bCs/>
        </w:rPr>
      </w:pPr>
      <w:r>
        <w:rPr>
          <w:bCs/>
        </w:rPr>
      </w:r>
    </w:p>
    <w:p>
      <w:pPr>
        <w:pStyle w:val="RecipientName"/>
        <w:rPr/>
      </w:pPr>
      <w:r>
        <w:rPr/>
        <w:t>Hon. David P. Boergers</w:t>
      </w:r>
    </w:p>
    <w:p>
      <w:pPr>
        <w:pStyle w:val="RecipientName"/>
        <w:rPr/>
      </w:pPr>
      <w:r>
        <w:rPr/>
        <w:t>Secretary</w:t>
      </w:r>
    </w:p>
    <w:p>
      <w:pPr>
        <w:pStyle w:val="RecipientAddress"/>
        <w:rPr/>
      </w:pPr>
      <w:r>
        <w:rPr/>
        <w:t>Federal Energy Regulatory Commission</w:t>
      </w:r>
    </w:p>
    <w:p>
      <w:pPr>
        <w:pStyle w:val="RecipientAddress"/>
        <w:rPr/>
      </w:pPr>
      <w:r>
        <w:rPr/>
        <w:t>888 First Street, N.E.</w:t>
      </w:r>
    </w:p>
    <w:p>
      <w:pPr>
        <w:pStyle w:val="RecipientName"/>
        <w:rPr/>
      </w:pPr>
      <w:r>
        <w:rPr/>
        <w:t>Washington, D.C. 20426</w:t>
      </w:r>
    </w:p>
    <w:p>
      <w:pPr>
        <w:pStyle w:val="RecipientAddress"/>
        <w:rPr/>
      </w:pPr>
      <w:r>
        <w:rPr/>
      </w:r>
    </w:p>
    <w:p>
      <w:pPr>
        <w:pStyle w:val="Normal"/>
        <w:ind w:hanging="720" w:start="720" w:end="0"/>
        <w:rPr/>
      </w:pPr>
      <w:r>
        <w:rPr/>
        <w:t>RE:</w:t>
        <w:tab/>
        <w:t xml:space="preserve">Errata to Exhibits Nos. BUR-1 (Responsive Testimony of Paul G. Scheuerman on Behalf of the City of Burbank, California) and BUR-2 (Spreadsheet of the City of Burbank’s Sales to the CAISO Pursuant to the DOE Order), in </w:t>
      </w:r>
      <w:r>
        <w:rPr>
          <w:i/>
          <w:iCs/>
        </w:rPr>
        <w:t xml:space="preserve">San Diego Gas &amp; Electric Company, et. al, </w:t>
      </w:r>
      <w:r>
        <w:rPr/>
        <w:t xml:space="preserve">FERC Docket Nos. EL00-95-045; EL00-98-042 </w:t>
      </w:r>
    </w:p>
    <w:p>
      <w:pPr>
        <w:pStyle w:val="Salutation"/>
        <w:rPr/>
      </w:pPr>
      <w:r>
        <w:rPr/>
        <w:t>Dear Secretary Boergers:</w:t>
      </w:r>
    </w:p>
    <w:p>
      <w:pPr>
        <w:pStyle w:val="BodyText"/>
        <w:rPr/>
      </w:pPr>
      <w:r>
        <w:rPr/>
        <w:t xml:space="preserve">On behalf of the City of Burbank, California (“Burbank”), enclosed for filing in the above captioned proceeding pursuant to 18 C.F.R. § </w:t>
      </w:r>
      <w:r>
        <w:rPr>
          <w:rFonts w:cs="Courier New"/>
        </w:rPr>
        <w:t xml:space="preserve">385.214, please find an original and 16 copies of the errata to page 9 of the </w:t>
      </w:r>
      <w:r>
        <w:rPr/>
        <w:t xml:space="preserve">filed Responsive Testimony of Paul G. Scheuerman on Behalf of the City of Burbank, California, Exhibit No. BUR-1; and to the Spreadsheet of the City of Burbank’s Sales to the CAISO Pursuant to the DOE Orders, Exhibit No. BUR-2 in the above captioned dockets.  By this errata, Burbank revises typographical errors in the spreadsheet of Burbank’s sales pursuant to the DOE Orders in Exhibit No. BUR-2.  The revision to Exhibit No. BUR-2 has a relatively small impact on the figures reflected in the spreadsheet and has no significant impact on the magnitude of those figures.  In addition, the summary of the figures reflected in Exhibit No. BUR-2, which was included in a table in Exhibit No. BUR-1 at p. 9, lines 10-11 has also been revised to reflect the corrected figures from Exhibit No. BUR-2.  </w:t>
      </w:r>
    </w:p>
    <w:p>
      <w:pPr>
        <w:pStyle w:val="BodyText"/>
        <w:rPr/>
      </w:pPr>
      <w:r>
        <w:rPr/>
      </w:r>
    </w:p>
    <w:p>
      <w:pPr>
        <w:pStyle w:val="BodyText"/>
        <w:rPr/>
      </w:pPr>
      <w:r>
        <w:rPr/>
        <w:t>Accordingly, the following revised exhibits are included in this filing and are intended to replace those exhibit pages filed by Burbank in this proceeding on November 6, 2001:</w:t>
      </w:r>
    </w:p>
    <w:p>
      <w:pPr>
        <w:pStyle w:val="BodyText"/>
        <w:rPr/>
      </w:pPr>
      <w:r>
        <w:rPr/>
      </w:r>
    </w:p>
    <w:p>
      <w:pPr>
        <w:pStyle w:val="BodyText"/>
        <w:numPr>
          <w:ilvl w:val="0"/>
          <w:numId w:val="2"/>
        </w:numPr>
        <w:rPr/>
      </w:pPr>
      <w:r>
        <w:rPr/>
        <w:t>Exhibit No. BUR-1, page 9</w:t>
      </w:r>
    </w:p>
    <w:p>
      <w:pPr>
        <w:pStyle w:val="BodyText"/>
        <w:numPr>
          <w:ilvl w:val="0"/>
          <w:numId w:val="2"/>
        </w:numPr>
        <w:rPr/>
      </w:pPr>
      <w:r>
        <w:rPr/>
        <w:t>Exhibit No. BUR-2, pages 1-2</w:t>
      </w:r>
    </w:p>
    <w:p>
      <w:pPr>
        <w:pStyle w:val="BodyText"/>
        <w:ind w:hanging="0" w:start="1800" w:end="0"/>
        <w:rPr/>
      </w:pPr>
      <w:r>
        <w:rPr/>
      </w:r>
    </w:p>
    <w:p>
      <w:pPr>
        <w:pStyle w:val="BodyText"/>
        <w:ind w:hanging="0" w:end="0"/>
        <w:rPr/>
      </w:pPr>
      <w:r>
        <w:rPr/>
        <w:tab/>
        <w:tab/>
        <w:t>A courtesy copy of this filing has been e-mailed and provided to the presiding Administrative Law Judge in this proceeding.</w:t>
      </w:r>
    </w:p>
    <w:p>
      <w:pPr>
        <w:pStyle w:val="BodyText"/>
        <w:rPr/>
      </w:pPr>
      <w:r>
        <w:rPr/>
      </w:r>
    </w:p>
    <w:p>
      <w:pPr>
        <w:pStyle w:val="Normal"/>
        <w:keepNext w:val="true"/>
        <w:tabs>
          <w:tab w:val="clear" w:pos="720"/>
          <w:tab w:val="left" w:pos="4320" w:leader="none"/>
        </w:tabs>
        <w:ind w:hanging="540" w:start="4860" w:end="0"/>
        <w:rPr/>
      </w:pPr>
      <w:r>
        <w:rPr/>
        <w:t>Sincerely,</w:t>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 w:val="left" w:pos="9360" w:leader="none"/>
        </w:tabs>
        <w:ind w:start="4320" w:end="0"/>
        <w:rPr/>
      </w:pPr>
      <w:r>
        <w:rPr/>
        <w:t>Jon R. Stickman</w:t>
      </w:r>
    </w:p>
    <w:p>
      <w:pPr>
        <w:pStyle w:val="Normal"/>
        <w:keepNext w:val="true"/>
        <w:tabs>
          <w:tab w:val="clear" w:pos="720"/>
          <w:tab w:val="left" w:pos="5400" w:leader="none"/>
          <w:tab w:val="left" w:pos="9360" w:leader="none"/>
        </w:tabs>
        <w:ind w:start="4320" w:end="0"/>
        <w:rPr/>
      </w:pPr>
      <w:r>
        <w:rPr/>
        <w:t>Counsel to the City of Burbank</w:t>
      </w:r>
    </w:p>
    <w:p>
      <w:pPr>
        <w:pStyle w:val="Normal"/>
        <w:keepNext w:val="true"/>
        <w:tabs>
          <w:tab w:val="clear" w:pos="720"/>
          <w:tab w:val="left" w:pos="5400" w:leader="none"/>
          <w:tab w:val="left" w:pos="9360" w:leader="none"/>
        </w:tabs>
        <w:ind w:start="4320" w:end="0"/>
        <w:rPr/>
      </w:pPr>
      <w:r>
        <w:rPr/>
      </w:r>
    </w:p>
    <w:p>
      <w:pPr>
        <w:pStyle w:val="Normal"/>
        <w:tabs>
          <w:tab w:val="clear" w:pos="720"/>
          <w:tab w:val="left" w:pos="5400" w:leader="none"/>
        </w:tabs>
        <w:ind w:start="4320" w:end="0"/>
        <w:rPr/>
      </w:pPr>
      <w:r>
        <w:rPr/>
      </w:r>
    </w:p>
    <w:p>
      <w:pPr>
        <w:pStyle w:val="Normal"/>
        <w:tabs>
          <w:tab w:val="clear" w:pos="720"/>
          <w:tab w:val="left" w:pos="5040" w:leader="none"/>
        </w:tabs>
        <w:rPr/>
      </w:pPr>
      <w:r>
        <w:rPr/>
        <w:t>Enclosures</w:t>
      </w:r>
    </w:p>
    <w:p>
      <w:pPr>
        <w:pStyle w:val="Normal"/>
        <w:tabs>
          <w:tab w:val="clear" w:pos="720"/>
          <w:tab w:val="left" w:pos="360" w:leader="none"/>
          <w:tab w:val="left" w:pos="5040" w:leader="none"/>
        </w:tabs>
        <w:rPr/>
      </w:pPr>
      <w:r>
        <w:rPr/>
        <w:t xml:space="preserve">cc: </w:t>
        <w:tab/>
        <w:t>Restricted Service List</w:t>
      </w:r>
    </w:p>
    <w:p>
      <w:pPr>
        <w:pStyle w:val="Normal"/>
        <w:tabs>
          <w:tab w:val="clear" w:pos="720"/>
          <w:tab w:val="left" w:pos="360" w:leader="none"/>
          <w:tab w:val="left" w:pos="5040" w:leader="none"/>
        </w:tabs>
        <w:rPr/>
      </w:pPr>
      <w:r>
        <w:rPr/>
        <w:tab/>
        <w:t>Administrative Law Judge Birchman</w:t>
        <w:tab/>
      </w:r>
    </w:p>
    <w:p>
      <w:pPr>
        <w:pStyle w:val="Normal"/>
        <w:rPr/>
      </w:pPr>
      <w:r>
        <w:rPr/>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930" w:leader="none"/>
      </w:tabs>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3"/>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2001-11-21T17:19:00Z</dcterms:created>
  <dc:creator> </dc:creator>
  <dc:description/>
  <dc:language>en-CA</dc:language>
  <cp:lastModifiedBy> </cp:lastModifiedBy>
  <cp:lastPrinted>2001-11-26T10:08:00Z</cp:lastPrinted>
  <dcterms:modified xsi:type="dcterms:W3CDTF">2001-11-26T12:38:00Z</dcterms:modified>
  <cp:revision>3</cp:revision>
  <dc:subject/>
  <dc:title>November 21, 2001</dc:title>
</cp:coreProperties>
</file>