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EXHIBITS</w:t>
      </w:r>
    </w:p>
    <w:p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/>
      </w:pPr>
      <w:r>
        <w:rPr>
          <w:b/>
          <w:bCs/>
        </w:rPr>
        <w:tab/>
      </w:r>
      <w:r>
        <w:rPr>
          <w:b/>
          <w:bCs/>
          <w:u w:val="single"/>
        </w:rPr>
        <w:t>Joint Burbank/Glendale Exhibits (JBG)</w:t>
      </w:r>
    </w:p>
    <w:p>
      <w:pPr>
        <w:pStyle w:val="BodyText"/>
        <w:ind w:start="-720" w:end="0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348" w:type="dxa"/>
        <w:jc w:val="start"/>
        <w:tblInd w:w="-1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5040"/>
        <w:gridCol w:w="2868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Exhibit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Accepted or Denied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/>
              <w:t>Exhibit No. JBG-1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Joint Responsive Testimony of Paul G. Scheuerman on Behalf of the Cities of Glendale and Burbank, California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JBG-2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Department of Energy Order Pursuant to Section 202(c) of the Federal Power Act, dated December 14, 2000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JBG-3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Analysis of Load Forecast, Resource Availability Forecast, and Transmission System Conditions that Call for Certification, dated December 27, 2000, filed with the DOE by the ISO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JBG-4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Analysis of Load Forecast, Resource Availability Forecast, and Transmission System Conditions that Call for Certification, dated January 20, 2001, filed with the DOE by the ISO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JBG-5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Letter from Terry M. Winter, President and CEO of the ISO to DOE Secretary William Richardson, dated December 26, 2000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JBG-6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Letter from Terry M. Winter, President and CEO of the ISO to DOE Secretary William Richardson, dated January 21, 2001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JBG-7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Transcript of Telephone Conversation Between ISO Staff and Turlock Irrigation District Staff, dated January 18, 2001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JBG-8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Affidavit of Michael Brommer of Turlock Irrigation District Attesting to the Accuracy of the Telephone Transcript in Exhibit No. JBG-7</w:t>
            </w:r>
          </w:p>
        </w:tc>
        <w:tc>
          <w:tcPr>
            <w:tcW w:w="2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</w:r>
      <w:r>
        <w:rPr>
          <w:b/>
          <w:bCs/>
          <w:u w:val="single"/>
        </w:rPr>
        <w:t>Individual Glendale Exhibits (GLN)</w:t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348" w:type="dxa"/>
        <w:jc w:val="start"/>
        <w:tblInd w:w="-1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4814"/>
        <w:gridCol w:w="3094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Exhibit</w:t>
            </w:r>
          </w:p>
        </w:tc>
        <w:tc>
          <w:tcPr>
            <w:tcW w:w="4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Accepted or Denied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GLN-1</w:t>
            </w:r>
          </w:p>
        </w:tc>
        <w:tc>
          <w:tcPr>
            <w:tcW w:w="4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Responsive Testimony of Paul G. Scheuerman on Behalf of the City of Glendale, California</w:t>
            </w:r>
          </w:p>
        </w:tc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GLN-2</w:t>
            </w:r>
          </w:p>
        </w:tc>
        <w:tc>
          <w:tcPr>
            <w:tcW w:w="4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Affidavit of Manuel A. Robledo, Glendale’s Former Power Management Administrator</w:t>
            </w:r>
          </w:p>
        </w:tc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GLN-3</w:t>
            </w:r>
          </w:p>
        </w:tc>
        <w:tc>
          <w:tcPr>
            <w:tcW w:w="4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Spreadsheet of the City of Glendale’s Sales to the CAISO Pursuant to the DOE Order</w:t>
            </w:r>
          </w:p>
        </w:tc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</w:r>
      <w:r>
        <w:rPr>
          <w:b/>
          <w:bCs/>
          <w:u w:val="single"/>
        </w:rPr>
        <w:t>Individual Burbank Exhibits (BUR)</w:t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348" w:type="dxa"/>
        <w:jc w:val="start"/>
        <w:tblInd w:w="-1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4756"/>
        <w:gridCol w:w="3152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Exhibit</w:t>
            </w:r>
          </w:p>
        </w:tc>
        <w:tc>
          <w:tcPr>
            <w:tcW w:w="4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Accepted or Denied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BUR-1</w:t>
            </w:r>
          </w:p>
        </w:tc>
        <w:tc>
          <w:tcPr>
            <w:tcW w:w="4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Responsive Testimony of Paul G. Scheuerman on Behalf of the City of Burbank, California</w:t>
            </w:r>
          </w:p>
        </w:tc>
        <w:tc>
          <w:tcPr>
            <w:tcW w:w="3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BUR-2</w:t>
            </w:r>
          </w:p>
        </w:tc>
        <w:tc>
          <w:tcPr>
            <w:tcW w:w="4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Spreadsheet of the City of Burbank’s Sales to the CAISO Pursuant to the DOE Order</w:t>
            </w:r>
          </w:p>
        </w:tc>
        <w:tc>
          <w:tcPr>
            <w:tcW w:w="3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Exhibit No. BUR-3</w:t>
            </w:r>
          </w:p>
        </w:tc>
        <w:tc>
          <w:tcPr>
            <w:tcW w:w="4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Affidavit of Frederic C. Fletcher, Assistant General Manager of the City of Burbank, California</w:t>
            </w:r>
          </w:p>
        </w:tc>
        <w:tc>
          <w:tcPr>
            <w:tcW w:w="3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440" w:gutter="0" w:header="720" w:top="1440" w:footer="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2880"/>
        </w:tabs>
        <w:ind w:start="2880" w:hanging="720"/>
      </w:pPr>
      <w:rPr>
        <w:sz w:val="24"/>
        <w:i w:val="false"/>
        <w:b w:val="false"/>
        <w:rFonts w:ascii="Century Schoolbook" w:hAnsi="Century Schoolbook" w:cs="Century Schoolbook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720" w:hanging="72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600"/>
        </w:tabs>
        <w:ind w:start="3600" w:hanging="72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5040"/>
        </w:tabs>
        <w:ind w:start="5040" w:hanging="720"/>
      </w:pPr>
      <w:rPr/>
    </w:lvl>
    <w:lvl w:ilvl="7">
      <w:start w:val="1"/>
      <w:pStyle w:val="Heading8"/>
      <w:numFmt w:val="upperLetter"/>
      <w:lvlText w:val="(%8)"/>
      <w:lvlJc w:val="start"/>
      <w:pPr>
        <w:tabs>
          <w:tab w:val="num" w:pos="5760"/>
        </w:tabs>
        <w:ind w:start="5760" w:hanging="720"/>
      </w:pPr>
      <w:rPr/>
    </w:lvl>
    <w:lvl w:ilvl="8">
      <w:start w:val="1"/>
      <w:pStyle w:val="Heading9"/>
      <w:numFmt w:val="decimal"/>
      <w:lvlText w:val="(%9)"/>
      <w:lvlJc w:val="start"/>
      <w:pPr>
        <w:tabs>
          <w:tab w:val="num" w:pos="6480"/>
        </w:tabs>
        <w:ind w:star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160" w:leader="none"/>
      </w:tabs>
      <w:spacing w:before="0" w:after="240"/>
      <w:ind w:hanging="0" w:start="0" w:end="1440"/>
      <w:outlineLvl w:val="0"/>
    </w:pPr>
    <w:rPr>
      <w:bCs/>
      <w:caps/>
      <w:kern w:val="2"/>
      <w:szCs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Century Schoolbook" w:hAnsi="Century Schoolbook" w:cs="Century Schoolbook"/>
      <w:sz w:val="24"/>
    </w:rPr>
  </w:style>
  <w:style w:type="character" w:styleId="WW8Num11z3">
    <w:name w:val="WW8Num11z3"/>
    <w:qFormat/>
    <w:rPr/>
  </w:style>
  <w:style w:type="character" w:styleId="WW8Num12z0">
    <w:name w:val="WW8Num12z0"/>
    <w:qFormat/>
    <w:rPr>
      <w:rFonts w:ascii="Century Schoolbook" w:hAnsi="Century Schoolbook" w:cs="Century Schoolbook"/>
      <w:b w:val="false"/>
      <w:i w:val="false"/>
      <w:sz w:val="24"/>
    </w:rPr>
  </w:style>
  <w:style w:type="character" w:styleId="WW8Num12z1">
    <w:name w:val="WW8Num12z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Century Schoolbook" w:hAnsi="Century Schoolbook" w:cs="Century Schoolbook"/>
    </w:rPr>
  </w:style>
  <w:style w:type="character" w:styleId="CommentReference">
    <w:name w:val="Comment Reference"/>
    <w:basedOn w:val="DefaultParagraphFont"/>
    <w:qFormat/>
    <w:rPr>
      <w:rFonts w:ascii="Century Schoolbook" w:hAnsi="Century Schoolbook" w:cs="Century Schoolbook"/>
      <w:sz w:val="16"/>
      <w:szCs w:val="16"/>
    </w:rPr>
  </w:style>
  <w:style w:type="character" w:styleId="Emphasis">
    <w:name w:val="Emphasis"/>
    <w:basedOn w:val="DefaultParagraphFont"/>
    <w:qFormat/>
    <w:rPr>
      <w:rFonts w:ascii="Century Schoolbook" w:hAnsi="Century Schoolbook" w:cs="Century Schoolbook"/>
      <w:iCs/>
    </w:rPr>
  </w:style>
  <w:style w:type="character" w:styleId="EndnoteCharacters">
    <w:name w:val="Endnote Characters"/>
    <w:basedOn w:val="DefaultParagraphFont"/>
    <w:qFormat/>
    <w:rPr>
      <w:rFonts w:ascii="Century Schoolbook" w:hAnsi="Century Schoolbook" w:cs="Century Schoolbook"/>
      <w:vertAlign w:val="superscript"/>
    </w:rPr>
  </w:style>
  <w:style w:type="character" w:styleId="FootnoteCharacters">
    <w:name w:val="Footnote Characters"/>
    <w:basedOn w:val="DefaultParagraphFont"/>
    <w:qFormat/>
    <w:rPr>
      <w:rFonts w:ascii="Century Schoolbook" w:hAnsi="Century Schoolbook" w:cs="Century Schoolbook"/>
      <w:position w:val="0"/>
      <w:sz w:val="24"/>
      <w:u w:val="single"/>
      <w:vertAlign w:val="baseline"/>
    </w:rPr>
  </w:style>
  <w:style w:type="character" w:styleId="Hyperlink">
    <w:name w:val="Hyperlink"/>
    <w:basedOn w:val="DefaultParagraphFont"/>
    <w:rPr>
      <w:rFonts w:ascii="Century Schoolbook" w:hAnsi="Century Schoolbook" w:cs="Century Schoolbook"/>
      <w:color w:val="0000FF"/>
      <w:u w:val="single"/>
    </w:rPr>
  </w:style>
  <w:style w:type="character" w:styleId="LineNumber">
    <w:name w:val="line number"/>
    <w:basedOn w:val="DefaultParagraphFont"/>
    <w:rPr>
      <w:rFonts w:ascii="Century Schoolbook" w:hAnsi="Century Schoolbook" w:cs="Century Schoolbook"/>
    </w:rPr>
  </w:style>
  <w:style w:type="character" w:styleId="Strong">
    <w:name w:val="Strong"/>
    <w:basedOn w:val="DefaultParagraphFont"/>
    <w:qFormat/>
    <w:rPr>
      <w:rFonts w:ascii="Century Schoolbook" w:hAnsi="Century Schoolbook" w:cs="Century Schoolbook"/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50" w:leader="dot"/>
      </w:tabs>
      <w:spacing w:before="0" w:after="240"/>
      <w:ind w:hanging="720" w:start="720" w:end="720"/>
    </w:pPr>
    <w:rPr>
      <w:lang w:val="en-CA" w:eastAsia="en-CA"/>
    </w:rPr>
  </w:style>
  <w:style w:type="paragraph" w:styleId="BlockText">
    <w:name w:val="Block Text"/>
    <w:basedOn w:val="Normal"/>
    <w:qFormat/>
    <w:pPr>
      <w:ind w:hanging="0" w:start="1440" w:end="1440"/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>
      <w:szCs w:val="20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rFonts w:cs="Arial"/>
      <w:b/>
      <w:bCs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cs="Arial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cs="Arial"/>
      <w:b/>
      <w:bCs/>
    </w:rPr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50" w:leader="dot"/>
      </w:tabs>
      <w:spacing w:before="0" w:after="240"/>
      <w:ind w:hanging="720" w:start="6480" w:end="72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50" w:leader="dot"/>
      </w:tabs>
      <w:spacing w:before="0" w:after="240"/>
      <w:ind w:hanging="720" w:start="1440" w:end="72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720" w:start="2160" w:end="72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720" w:start="2880" w:end="72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720" w:start="3600" w:end="720"/>
    </w:pPr>
    <w:rPr>
      <w:lang w:val="en-CA" w:eastAsia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720" w:start="4320" w:end="720"/>
    </w:pPr>
    <w:rPr>
      <w:lang w:val="en-CA" w:eastAsia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spacing w:before="0" w:after="240"/>
      <w:ind w:hanging="720" w:start="5040" w:end="720"/>
    </w:pPr>
    <w:rPr>
      <w:lang w:val="en-CA" w:eastAsia="en-CA"/>
    </w:rPr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50" w:leader="dot"/>
      </w:tabs>
      <w:spacing w:before="0" w:after="240"/>
      <w:ind w:hanging="720" w:start="5760" w:end="720"/>
    </w:pPr>
    <w:rPr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2001-11-06T16:02:00Z</dcterms:created>
  <dc:creator> </dc:creator>
  <dc:description/>
  <dc:language>en-CA</dc:language>
  <cp:lastModifiedBy> </cp:lastModifiedBy>
  <cp:lastPrinted>2001-11-06T15:32:00Z</cp:lastPrinted>
  <dcterms:modified xsi:type="dcterms:W3CDTF">2001-11-06T18:02:00Z</dcterms:modified>
  <cp:revision>2</cp:revision>
  <dc:subject/>
  <dc:title>EXHIBITS</dc:title>
</cp:coreProperties>
</file>