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etterDate"/>
        <w:rPr/>
      </w:pPr>
      <w:r>
        <w:rPr/>
        <w:t>November 6, 2001</w:t>
      </w:r>
    </w:p>
    <w:p>
      <w:pPr>
        <w:pStyle w:val="Normal"/>
        <w:rPr>
          <w:bCs/>
        </w:rPr>
      </w:pPr>
      <w:r>
        <w:rPr>
          <w:bCs/>
        </w:rPr>
      </w:r>
    </w:p>
    <w:p>
      <w:pPr>
        <w:pStyle w:val="Normal"/>
        <w:rPr>
          <w:bCs/>
        </w:rPr>
      </w:pPr>
      <w:r>
        <w:rPr>
          <w:bCs/>
        </w:rPr>
      </w:r>
    </w:p>
    <w:p>
      <w:pPr>
        <w:pStyle w:val="Normal"/>
        <w:rPr>
          <w:bCs/>
        </w:rPr>
      </w:pPr>
      <w:r>
        <w:rPr>
          <w:bCs/>
        </w:rPr>
      </w:r>
    </w:p>
    <w:p>
      <w:pPr>
        <w:pStyle w:val="Normal"/>
        <w:rPr>
          <w:bCs/>
        </w:rPr>
      </w:pPr>
      <w:r>
        <w:rPr>
          <w:bCs/>
        </w:rPr>
      </w:r>
    </w:p>
    <w:p>
      <w:pPr>
        <w:pStyle w:val="RecipientName"/>
        <w:rPr/>
      </w:pPr>
      <w:r>
        <w:rPr/>
        <w:t>The Honorable David P. Boergers</w:t>
      </w:r>
    </w:p>
    <w:p>
      <w:pPr>
        <w:pStyle w:val="RecipientName"/>
        <w:rPr/>
      </w:pPr>
      <w:r>
        <w:rPr/>
        <w:t>Secretary</w:t>
      </w:r>
    </w:p>
    <w:p>
      <w:pPr>
        <w:pStyle w:val="RecipientName"/>
        <w:rPr/>
      </w:pPr>
      <w:r>
        <w:rPr/>
        <w:t>Federal Energy Regulatory Commission</w:t>
      </w:r>
    </w:p>
    <w:p>
      <w:pPr>
        <w:pStyle w:val="RecipientAddress"/>
        <w:rPr/>
      </w:pPr>
      <w:r>
        <w:rPr/>
        <w:t>888 First Street, N.E.</w:t>
      </w:r>
    </w:p>
    <w:p>
      <w:pPr>
        <w:pStyle w:val="RecipientAddress"/>
        <w:rPr/>
      </w:pPr>
      <w:r>
        <w:rPr/>
        <w:t>Washington, DC 20426</w:t>
      </w:r>
    </w:p>
    <w:p>
      <w:pPr>
        <w:pStyle w:val="ReLine"/>
        <w:tabs>
          <w:tab w:val="clear" w:pos="720"/>
          <w:tab w:val="left" w:pos="6090" w:leader="none"/>
        </w:tabs>
        <w:rPr>
          <w:b/>
          <w:bCs/>
        </w:rPr>
      </w:pPr>
      <w:r>
        <w:rPr>
          <w:b/>
          <w:bCs/>
        </w:rPr>
        <w:t>Re:</w:t>
        <w:tab/>
      </w:r>
      <w:r>
        <w:rPr>
          <w:b/>
          <w:bCs/>
          <w:i/>
          <w:iCs/>
        </w:rPr>
        <w:t>San Diego Gas &amp; Electric Co., et al.</w:t>
      </w:r>
      <w:r>
        <w:rPr>
          <w:b/>
          <w:bCs/>
        </w:rPr>
        <w:br/>
      </w:r>
      <w:r>
        <w:rPr>
          <w:b/>
          <w:bCs/>
          <w:u w:val="single"/>
        </w:rPr>
        <w:t xml:space="preserve">Docket Nos. EL00-95-045, </w:t>
      </w:r>
      <w:r>
        <w:rPr>
          <w:b/>
          <w:bCs/>
          <w:i/>
          <w:iCs/>
          <w:u w:val="single"/>
        </w:rPr>
        <w:t>et al.</w:t>
      </w:r>
      <w:r>
        <w:rPr>
          <w:b/>
          <w:bCs/>
          <w:u w:val="single"/>
        </w:rPr>
        <w:tab/>
      </w:r>
    </w:p>
    <w:p>
      <w:pPr>
        <w:pStyle w:val="Salutation"/>
        <w:rPr/>
      </w:pPr>
      <w:r>
        <w:rPr/>
        <w:t>Dear Secretary Boergers:</w:t>
      </w:r>
    </w:p>
    <w:p>
      <w:pPr>
        <w:pStyle w:val="BodyText"/>
        <w:rPr/>
      </w:pPr>
      <w:r>
        <w:rPr/>
        <w:t>Enclosed are an original and fourteen copies of the Cities of Glendale (“Glendale”) and Burbank (“Burbank”), California individual Prepared Responsive Testimony, Prepared Joint Responsive Testimony and supporting exhibits in the above-captioned proceeding.  This filing includes:</w:t>
      </w:r>
    </w:p>
    <w:p>
      <w:pPr>
        <w:pStyle w:val="BodyText"/>
        <w:ind w:hanging="0" w:end="0"/>
        <w:rPr/>
      </w:pPr>
      <w:r>
        <w:rPr/>
      </w:r>
    </w:p>
    <w:p>
      <w:pPr>
        <w:pStyle w:val="BodyText"/>
        <w:ind w:hanging="0" w:end="0"/>
        <w:rPr>
          <w:b/>
          <w:bCs/>
          <w:u w:val="single"/>
        </w:rPr>
      </w:pPr>
      <w:r>
        <w:rPr>
          <w:b/>
          <w:bCs/>
          <w:u w:val="single"/>
        </w:rPr>
        <w:t>Summaries of Testimony</w:t>
      </w:r>
    </w:p>
    <w:p>
      <w:pPr>
        <w:pStyle w:val="BodyText"/>
        <w:ind w:hanging="0" w:end="0"/>
        <w:rPr>
          <w:b/>
          <w:bCs/>
          <w:u w:val="single"/>
        </w:rPr>
      </w:pPr>
      <w:r>
        <w:rPr>
          <w:b/>
          <w:bCs/>
          <w:u w:val="single"/>
        </w:rPr>
      </w:r>
    </w:p>
    <w:p>
      <w:pPr>
        <w:pStyle w:val="BodyText"/>
        <w:tabs>
          <w:tab w:val="clear" w:pos="720"/>
          <w:tab w:val="left" w:pos="1440" w:leader="none"/>
        </w:tabs>
        <w:ind w:hanging="0" w:end="0"/>
        <w:rPr/>
      </w:pPr>
      <w:r>
        <w:rPr/>
        <w:tab/>
        <w:t>Summaries of the Prepared Responsive Testimony of Paul Scheuerman on behalf of Glendale and Burbank individually and a summary of the Joint Responsive Testimony of Paul Scheuerman on behalf of both Glendale and Burbank.</w:t>
      </w:r>
    </w:p>
    <w:p>
      <w:pPr>
        <w:pStyle w:val="BodyText"/>
        <w:ind w:hanging="0" w:end="0"/>
        <w:rPr/>
      </w:pPr>
      <w:r>
        <w:rPr/>
      </w:r>
    </w:p>
    <w:p>
      <w:pPr>
        <w:pStyle w:val="BodyText"/>
        <w:ind w:hanging="0" w:end="0"/>
        <w:rPr>
          <w:b/>
          <w:bCs/>
          <w:u w:val="single"/>
        </w:rPr>
      </w:pPr>
      <w:r>
        <w:rPr>
          <w:b/>
          <w:bCs/>
          <w:u w:val="single"/>
        </w:rPr>
        <w:t>Exhibits</w:t>
      </w:r>
    </w:p>
    <w:p>
      <w:pPr>
        <w:pStyle w:val="BodyText"/>
        <w:ind w:hanging="0" w:end="0"/>
        <w:rPr>
          <w:b/>
          <w:bCs/>
          <w:u w:val="single"/>
        </w:rPr>
      </w:pPr>
      <w:r>
        <w:rPr>
          <w:b/>
          <w:bCs/>
          <w:u w:val="single"/>
        </w:rPr>
      </w:r>
    </w:p>
    <w:p>
      <w:pPr>
        <w:pStyle w:val="BodyText"/>
        <w:ind w:hanging="0" w:end="0"/>
        <w:rPr/>
      </w:pPr>
      <w:r>
        <w:rPr>
          <w:b/>
          <w:bCs/>
        </w:rPr>
        <w:tab/>
      </w:r>
      <w:r>
        <w:rPr>
          <w:b/>
          <w:bCs/>
          <w:u w:val="single"/>
        </w:rPr>
        <w:t>Joint Burbank/Glendale Exhibits (JBG)</w:t>
      </w:r>
    </w:p>
    <w:p>
      <w:pPr>
        <w:pStyle w:val="BodyText"/>
        <w:ind w:hanging="0" w:end="0"/>
        <w:rPr>
          <w:b/>
          <w:bCs/>
          <w:u w:val="single"/>
        </w:rPr>
      </w:pPr>
      <w:r>
        <w:rPr>
          <w:b/>
          <w:bCs/>
          <w:u w:val="single"/>
        </w:rPr>
      </w:r>
    </w:p>
    <w:tbl>
      <w:tblPr>
        <w:tblW w:w="8388" w:type="dxa"/>
        <w:jc w:val="start"/>
        <w:tblInd w:w="828" w:type="dxa"/>
        <w:tblLayout w:type="fixed"/>
        <w:tblCellMar>
          <w:top w:w="0" w:type="dxa"/>
          <w:start w:w="108" w:type="dxa"/>
          <w:bottom w:w="0" w:type="dxa"/>
          <w:end w:w="108" w:type="dxa"/>
        </w:tblCellMar>
      </w:tblPr>
      <w:tblGrid>
        <w:gridCol w:w="1680"/>
        <w:gridCol w:w="6708"/>
      </w:tblGrid>
      <w:tr>
        <w:trPr/>
        <w:tc>
          <w:tcPr>
            <w:tcW w:w="1680" w:type="dxa"/>
            <w:tcBorders>
              <w:top w:val="single" w:sz="4" w:space="0" w:color="000000"/>
              <w:start w:val="single" w:sz="4" w:space="0" w:color="000000"/>
              <w:bottom w:val="single" w:sz="4" w:space="0" w:color="000000"/>
              <w:end w:val="single" w:sz="4" w:space="0" w:color="000000"/>
            </w:tcBorders>
          </w:tcPr>
          <w:p>
            <w:pPr>
              <w:pStyle w:val="BodyText"/>
              <w:ind w:hanging="0" w:end="0"/>
              <w:rPr>
                <w:b/>
                <w:bCs/>
              </w:rPr>
            </w:pPr>
            <w:r>
              <w:rPr/>
              <w:t>Exhibit No. JBG-1</w:t>
            </w:r>
          </w:p>
        </w:tc>
        <w:tc>
          <w:tcPr>
            <w:tcW w:w="6708"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Joint Responsive Testimony of Paul G. Scheuerman on Behalf of the Cities of Glendale and Burbank, California</w:t>
            </w:r>
          </w:p>
        </w:tc>
      </w:tr>
      <w:tr>
        <w:trPr/>
        <w:tc>
          <w:tcPr>
            <w:tcW w:w="168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Exhibit No. JBG-2</w:t>
            </w:r>
          </w:p>
        </w:tc>
        <w:tc>
          <w:tcPr>
            <w:tcW w:w="6708"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Department of Energy Order Pursuant to Section 202(c) of the Federal Power Act, dated December 14, 2000</w:t>
            </w:r>
          </w:p>
        </w:tc>
      </w:tr>
      <w:tr>
        <w:trPr/>
        <w:tc>
          <w:tcPr>
            <w:tcW w:w="168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Exhibit No. JBG-3</w:t>
            </w:r>
          </w:p>
        </w:tc>
        <w:tc>
          <w:tcPr>
            <w:tcW w:w="6708"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Analysis of Load Forecast, Resource Availability Forecast, and Transmission System Conditions that Call for Certification, dated December 27, 2000, filed with the DOE by the ISO</w:t>
            </w:r>
          </w:p>
        </w:tc>
      </w:tr>
      <w:tr>
        <w:trPr/>
        <w:tc>
          <w:tcPr>
            <w:tcW w:w="168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Exhibit No. JBG-4</w:t>
            </w:r>
          </w:p>
        </w:tc>
        <w:tc>
          <w:tcPr>
            <w:tcW w:w="6708"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Analysis of Load Forecast, Resource Availability Forecast, and Transmission System Conditions that Call for Certification, dated January 20, 2001, filed with the DOE by the ISO</w:t>
            </w:r>
          </w:p>
        </w:tc>
      </w:tr>
      <w:tr>
        <w:trPr/>
        <w:tc>
          <w:tcPr>
            <w:tcW w:w="168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Exhibit No. JBG-5</w:t>
            </w:r>
          </w:p>
        </w:tc>
        <w:tc>
          <w:tcPr>
            <w:tcW w:w="6708"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Letter from Terry M. Winter, President and CEO of the ISO to DOE Secretary William Richardson, dated December 26, 2000</w:t>
            </w:r>
          </w:p>
        </w:tc>
      </w:tr>
      <w:tr>
        <w:trPr/>
        <w:tc>
          <w:tcPr>
            <w:tcW w:w="168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Exhibit No. JBG-6</w:t>
            </w:r>
          </w:p>
        </w:tc>
        <w:tc>
          <w:tcPr>
            <w:tcW w:w="6708"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Letter from Terry M. Winter, President and CEO of the ISO to DOE Secretary William Richardson, dated January 21, 2001</w:t>
            </w:r>
          </w:p>
        </w:tc>
      </w:tr>
      <w:tr>
        <w:trPr/>
        <w:tc>
          <w:tcPr>
            <w:tcW w:w="168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Exhibit No. JBG-7</w:t>
            </w:r>
          </w:p>
        </w:tc>
        <w:tc>
          <w:tcPr>
            <w:tcW w:w="6708"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Transcript of Telephone Conversation Between ISO Staff and Turlock Irrigation District Staff, dated January 18, 2001</w:t>
            </w:r>
          </w:p>
        </w:tc>
      </w:tr>
      <w:tr>
        <w:trPr/>
        <w:tc>
          <w:tcPr>
            <w:tcW w:w="168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Exhibit No. JBG-8</w:t>
            </w:r>
          </w:p>
        </w:tc>
        <w:tc>
          <w:tcPr>
            <w:tcW w:w="6708"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Affidavit of Michael Brommer of Turlock Irrigation District Attesting to the Accuracy of the Telephone Transcript in Exhibit No. JBG-7</w:t>
            </w:r>
          </w:p>
        </w:tc>
      </w:tr>
    </w:tbl>
    <w:p>
      <w:pPr>
        <w:pStyle w:val="BodyText"/>
        <w:ind w:hanging="0" w:end="0"/>
        <w:rPr/>
      </w:pPr>
      <w:r>
        <w:rPr/>
      </w:r>
    </w:p>
    <w:p>
      <w:pPr>
        <w:pStyle w:val="BodyText"/>
        <w:ind w:hanging="0" w:end="0"/>
        <w:rPr/>
      </w:pPr>
      <w:r>
        <w:rPr/>
      </w:r>
    </w:p>
    <w:p>
      <w:pPr>
        <w:pStyle w:val="BodyText"/>
        <w:ind w:hanging="0" w:end="0"/>
        <w:rPr/>
      </w:pPr>
      <w:r>
        <w:rPr/>
        <w:tab/>
      </w:r>
      <w:r>
        <w:rPr>
          <w:b/>
          <w:bCs/>
          <w:u w:val="single"/>
        </w:rPr>
        <w:t>Individual Glendale Exhibits (GLN)</w:t>
      </w:r>
    </w:p>
    <w:p>
      <w:pPr>
        <w:pStyle w:val="BodyText"/>
        <w:ind w:hanging="0" w:end="0"/>
        <w:rPr>
          <w:b/>
          <w:bCs/>
          <w:u w:val="single"/>
        </w:rPr>
      </w:pPr>
      <w:r>
        <w:rPr>
          <w:b/>
          <w:bCs/>
          <w:u w:val="single"/>
        </w:rPr>
      </w:r>
    </w:p>
    <w:tbl>
      <w:tblPr>
        <w:tblW w:w="8388" w:type="dxa"/>
        <w:jc w:val="start"/>
        <w:tblInd w:w="828" w:type="dxa"/>
        <w:tblLayout w:type="fixed"/>
        <w:tblCellMar>
          <w:top w:w="0" w:type="dxa"/>
          <w:start w:w="108" w:type="dxa"/>
          <w:bottom w:w="0" w:type="dxa"/>
          <w:end w:w="108" w:type="dxa"/>
        </w:tblCellMar>
      </w:tblPr>
      <w:tblGrid>
        <w:gridCol w:w="1680"/>
        <w:gridCol w:w="6708"/>
      </w:tblGrid>
      <w:tr>
        <w:trPr/>
        <w:tc>
          <w:tcPr>
            <w:tcW w:w="168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Exhibit No. GLN-1</w:t>
            </w:r>
          </w:p>
        </w:tc>
        <w:tc>
          <w:tcPr>
            <w:tcW w:w="6708"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Responsive Testimony of Paul G. Scheuerman on Behalf of the City of Glendale, California</w:t>
            </w:r>
          </w:p>
        </w:tc>
      </w:tr>
      <w:tr>
        <w:trPr/>
        <w:tc>
          <w:tcPr>
            <w:tcW w:w="168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Exhibit No. GLN-2</w:t>
            </w:r>
          </w:p>
        </w:tc>
        <w:tc>
          <w:tcPr>
            <w:tcW w:w="6708"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Affidavit of Manuel A. Robledo, Glendale’s Former Power Management Administrator</w:t>
            </w:r>
          </w:p>
        </w:tc>
      </w:tr>
      <w:tr>
        <w:trPr/>
        <w:tc>
          <w:tcPr>
            <w:tcW w:w="168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Exhibit No. GLN-3</w:t>
            </w:r>
          </w:p>
        </w:tc>
        <w:tc>
          <w:tcPr>
            <w:tcW w:w="6708"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Spreadsheet of the City of Glendale’s Sales to the CAISO Pursuant to the DOE Order</w:t>
            </w:r>
          </w:p>
        </w:tc>
      </w:tr>
    </w:tbl>
    <w:p>
      <w:pPr>
        <w:pStyle w:val="BodyText"/>
        <w:ind w:hanging="0" w:end="0"/>
        <w:rPr/>
      </w:pPr>
      <w:r>
        <w:rPr/>
      </w:r>
    </w:p>
    <w:p>
      <w:pPr>
        <w:pStyle w:val="BodyText"/>
        <w:ind w:hanging="0" w:end="0"/>
        <w:rPr/>
      </w:pPr>
      <w:r>
        <w:rPr/>
        <w:tab/>
      </w:r>
      <w:r>
        <w:rPr>
          <w:b/>
          <w:bCs/>
          <w:u w:val="single"/>
        </w:rPr>
        <w:t>Individual Burbank Exhibits (BUR)</w:t>
      </w:r>
    </w:p>
    <w:p>
      <w:pPr>
        <w:pStyle w:val="BodyText"/>
        <w:ind w:hanging="0" w:end="0"/>
        <w:rPr>
          <w:b/>
          <w:bCs/>
          <w:u w:val="single"/>
        </w:rPr>
      </w:pPr>
      <w:r>
        <w:rPr>
          <w:b/>
          <w:bCs/>
          <w:u w:val="single"/>
        </w:rPr>
      </w:r>
    </w:p>
    <w:tbl>
      <w:tblPr>
        <w:tblW w:w="8388" w:type="dxa"/>
        <w:jc w:val="start"/>
        <w:tblInd w:w="828" w:type="dxa"/>
        <w:tblLayout w:type="fixed"/>
        <w:tblCellMar>
          <w:top w:w="0" w:type="dxa"/>
          <w:start w:w="108" w:type="dxa"/>
          <w:bottom w:w="0" w:type="dxa"/>
          <w:end w:w="108" w:type="dxa"/>
        </w:tblCellMar>
      </w:tblPr>
      <w:tblGrid>
        <w:gridCol w:w="1680"/>
        <w:gridCol w:w="6708"/>
      </w:tblGrid>
      <w:tr>
        <w:trPr/>
        <w:tc>
          <w:tcPr>
            <w:tcW w:w="168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Exhibit No. BUR-1</w:t>
            </w:r>
          </w:p>
        </w:tc>
        <w:tc>
          <w:tcPr>
            <w:tcW w:w="6708"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Responsive Testimony of Paul G. Scheuerman on Behalf of the City of Burbank, California</w:t>
            </w:r>
          </w:p>
        </w:tc>
      </w:tr>
      <w:tr>
        <w:trPr/>
        <w:tc>
          <w:tcPr>
            <w:tcW w:w="168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Exhibit No. BUR-2</w:t>
            </w:r>
          </w:p>
        </w:tc>
        <w:tc>
          <w:tcPr>
            <w:tcW w:w="6708"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Spreadsheet of the City of Burbank’s Sales to the CAISO Pursuant to the DOE Order</w:t>
            </w:r>
          </w:p>
        </w:tc>
      </w:tr>
      <w:tr>
        <w:trPr/>
        <w:tc>
          <w:tcPr>
            <w:tcW w:w="168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Exhibit No. BUR-3</w:t>
            </w:r>
          </w:p>
        </w:tc>
        <w:tc>
          <w:tcPr>
            <w:tcW w:w="6708"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t>Affidavit of Frederic C. Fletcher, Assistant General Manager of the City of Burbank, California</w:t>
            </w:r>
          </w:p>
        </w:tc>
      </w:tr>
    </w:tbl>
    <w:p>
      <w:pPr>
        <w:pStyle w:val="BodyText"/>
        <w:ind w:hanging="0" w:end="0"/>
        <w:rPr/>
      </w:pPr>
      <w:r>
        <w:rPr/>
      </w:r>
    </w:p>
    <w:p>
      <w:pPr>
        <w:pStyle w:val="BodyText"/>
        <w:ind w:hanging="0" w:end="0"/>
        <w:rPr/>
      </w:pPr>
      <w:r>
        <w:rPr/>
        <w:tab/>
        <w:t xml:space="preserve">Also enclosed are two extra copies of the filing to be time and date stamped and returned to our office by the messenger.  One courtesy copy of this filing is being provided to Presiding Judge Bruce L. Birchman. </w:t>
      </w:r>
    </w:p>
    <w:p>
      <w:pPr>
        <w:pStyle w:val="BodyText"/>
        <w:ind w:hanging="0" w:end="0"/>
        <w:rPr/>
      </w:pPr>
      <w:r>
        <w:rPr/>
      </w:r>
    </w:p>
    <w:p>
      <w:pPr>
        <w:pStyle w:val="BodyText"/>
        <w:ind w:hanging="0" w:end="0"/>
        <w:rPr/>
      </w:pPr>
      <w:r>
        <w:rPr/>
        <w:tab/>
      </w:r>
    </w:p>
    <w:p>
      <w:pPr>
        <w:pStyle w:val="BodyText"/>
        <w:ind w:hanging="0" w:end="0"/>
        <w:rPr/>
      </w:pPr>
      <w:r>
        <w:rPr/>
      </w:r>
    </w:p>
    <w:p>
      <w:pPr>
        <w:pStyle w:val="BodyText"/>
        <w:ind w:firstLine="720" w:end="0"/>
        <w:rPr/>
      </w:pPr>
      <w:r>
        <w:rPr/>
        <w:t xml:space="preserve">Please contact the undersigned if you have any questions regarding this filing.  </w:t>
      </w:r>
    </w:p>
    <w:p>
      <w:pPr>
        <w:pStyle w:val="Normal"/>
        <w:keepNext w:val="true"/>
        <w:tabs>
          <w:tab w:val="clear" w:pos="720"/>
          <w:tab w:val="left" w:pos="4320" w:leader="none"/>
        </w:tabs>
        <w:ind w:hanging="540" w:start="4860" w:end="0"/>
        <w:rPr/>
      </w:pPr>
      <w:r>
        <w:rPr/>
        <w:t>Sincerely,</w:t>
      </w:r>
    </w:p>
    <w:p>
      <w:pPr>
        <w:pStyle w:val="Normal"/>
        <w:keepNext w:val="true"/>
        <w:tabs>
          <w:tab w:val="clear" w:pos="720"/>
          <w:tab w:val="left" w:pos="5400" w:leader="none"/>
        </w:tabs>
        <w:ind w:start="4320" w:end="0"/>
        <w:rPr/>
      </w:pPr>
      <w:r>
        <w:rPr/>
      </w:r>
    </w:p>
    <w:p>
      <w:pPr>
        <w:pStyle w:val="Normal"/>
        <w:keepNext w:val="true"/>
        <w:tabs>
          <w:tab w:val="clear" w:pos="720"/>
          <w:tab w:val="left" w:pos="5400" w:leader="none"/>
        </w:tabs>
        <w:ind w:start="4320" w:end="0"/>
        <w:rPr/>
      </w:pPr>
      <w:r>
        <w:rPr/>
      </w:r>
    </w:p>
    <w:p>
      <w:pPr>
        <w:pStyle w:val="Normal"/>
        <w:keepNext w:val="true"/>
        <w:tabs>
          <w:tab w:val="clear" w:pos="720"/>
          <w:tab w:val="left" w:pos="5400" w:leader="none"/>
        </w:tabs>
        <w:ind w:start="4320" w:end="0"/>
        <w:rPr/>
      </w:pPr>
      <w:r>
        <w:rPr/>
      </w:r>
    </w:p>
    <w:p>
      <w:pPr>
        <w:pStyle w:val="Normal"/>
        <w:keepNext w:val="true"/>
        <w:tabs>
          <w:tab w:val="clear" w:pos="720"/>
          <w:tab w:val="left" w:pos="5400" w:leader="none"/>
          <w:tab w:val="left" w:pos="9360" w:leader="none"/>
        </w:tabs>
        <w:ind w:start="4320" w:end="0"/>
        <w:rPr/>
      </w:pPr>
      <w:r>
        <w:rPr/>
        <w:t>Jon R. Stickman</w:t>
      </w:r>
    </w:p>
    <w:p>
      <w:pPr>
        <w:pStyle w:val="Normal"/>
        <w:tabs>
          <w:tab w:val="clear" w:pos="720"/>
          <w:tab w:val="left" w:pos="5400" w:leader="none"/>
        </w:tabs>
        <w:ind w:start="4320" w:end="0"/>
        <w:rPr/>
      </w:pPr>
      <w:r>
        <w:rPr/>
        <w:t>Donald R. Allen</w:t>
      </w:r>
    </w:p>
    <w:p>
      <w:pPr>
        <w:pStyle w:val="Normal"/>
        <w:tabs>
          <w:tab w:val="clear" w:pos="720"/>
          <w:tab w:val="left" w:pos="5400" w:leader="none"/>
        </w:tabs>
        <w:ind w:start="4320" w:end="0"/>
        <w:rPr/>
      </w:pPr>
      <w:r>
        <w:rPr/>
      </w:r>
    </w:p>
    <w:p>
      <w:pPr>
        <w:pStyle w:val="Normal"/>
        <w:tabs>
          <w:tab w:val="clear" w:pos="720"/>
          <w:tab w:val="left" w:pos="5400" w:leader="none"/>
        </w:tabs>
        <w:ind w:start="4320" w:end="0"/>
        <w:rPr/>
      </w:pPr>
      <w:r>
        <w:rPr/>
        <w:t>Counsels for the Cities of Burbank and Glendale, California</w:t>
      </w:r>
    </w:p>
    <w:p>
      <w:pPr>
        <w:pStyle w:val="Normal"/>
        <w:tabs>
          <w:tab w:val="clear" w:pos="720"/>
          <w:tab w:val="left" w:pos="5400" w:leader="none"/>
        </w:tabs>
        <w:rPr/>
      </w:pPr>
      <w:r>
        <w:rPr/>
      </w:r>
    </w:p>
    <w:p>
      <w:pPr>
        <w:pStyle w:val="Normal"/>
        <w:tabs>
          <w:tab w:val="clear" w:pos="720"/>
          <w:tab w:val="left" w:pos="5400" w:leader="none"/>
        </w:tabs>
        <w:rPr/>
      </w:pPr>
      <w:r>
        <w:rPr/>
        <w:t>Enclosures</w:t>
      </w:r>
    </w:p>
    <w:p>
      <w:pPr>
        <w:pStyle w:val="Normal"/>
        <w:tabs>
          <w:tab w:val="clear" w:pos="720"/>
          <w:tab w:val="left" w:pos="5400" w:leader="none"/>
        </w:tabs>
        <w:rPr/>
      </w:pPr>
      <w:r>
        <w:rPr/>
      </w:r>
    </w:p>
    <w:p>
      <w:pPr>
        <w:pStyle w:val="Normal"/>
        <w:tabs>
          <w:tab w:val="clear" w:pos="720"/>
          <w:tab w:val="left" w:pos="600" w:leader="none"/>
          <w:tab w:val="left" w:pos="5400" w:leader="none"/>
        </w:tabs>
        <w:rPr/>
      </w:pPr>
      <w:r>
        <w:rPr/>
        <w:t>cc:</w:t>
        <w:tab/>
        <w:t>The Honorable Bruce L Birchman</w:t>
      </w:r>
    </w:p>
    <w:p>
      <w:pPr>
        <w:pStyle w:val="Normal"/>
        <w:tabs>
          <w:tab w:val="clear" w:pos="720"/>
          <w:tab w:val="left" w:pos="600" w:leader="none"/>
          <w:tab w:val="left" w:pos="5400" w:leader="none"/>
        </w:tabs>
        <w:rPr/>
      </w:pPr>
      <w:r>
        <w:rPr/>
        <w:tab/>
        <w:t>Restrictive Service List</w:t>
      </w:r>
    </w:p>
    <w:p>
      <w:pPr>
        <w:pStyle w:val="Normal"/>
        <w:tabs>
          <w:tab w:val="clear" w:pos="720"/>
          <w:tab w:val="left" w:pos="5040" w:leader="none"/>
        </w:tabs>
        <w:rPr/>
      </w:pPr>
      <w:r>
        <w:rPr/>
      </w:r>
      <w:r>
        <w:br w:type="page"/>
      </w:r>
    </w:p>
    <w:p>
      <w:pPr>
        <w:pStyle w:val="Heading6"/>
        <w:numPr>
          <w:ilvl w:val="0"/>
          <w:numId w:val="0"/>
        </w:numPr>
        <w:ind w:hanging="0" w:start="2880" w:end="0"/>
        <w:rPr>
          <w:u w:val="single"/>
        </w:rPr>
      </w:pPr>
      <w:r>
        <w:rPr>
          <w:u w:val="single"/>
        </w:rPr>
        <w:t>CERTIFICATE OF SERVICE</w:t>
      </w:r>
    </w:p>
    <w:p>
      <w:pPr>
        <w:pStyle w:val="Normal"/>
        <w:rPr>
          <w:b/>
          <w:sz w:val="28"/>
          <w:u w:val="single"/>
        </w:rPr>
      </w:pPr>
      <w:r>
        <w:rPr>
          <w:b/>
          <w:sz w:val="28"/>
          <w:u w:val="single"/>
        </w:rPr>
      </w:r>
    </w:p>
    <w:p>
      <w:pPr>
        <w:pStyle w:val="Normal"/>
        <w:spacing w:lineRule="auto" w:line="480"/>
        <w:rPr/>
      </w:pPr>
      <w:r>
        <w:rPr>
          <w:b/>
        </w:rPr>
        <w:tab/>
      </w:r>
      <w:r>
        <w:rPr/>
        <w:t>I hereby certify that I have this day served the foregoing document upon each person designated on the restricted service list compiled by the Secretary in this proceeding.</w:t>
      </w:r>
    </w:p>
    <w:p>
      <w:pPr>
        <w:pStyle w:val="Normal"/>
        <w:spacing w:lineRule="auto" w:line="480"/>
        <w:rPr/>
      </w:pPr>
      <w:r>
        <w:rPr/>
        <w:tab/>
        <w:t>Dated at Washington, D.C. this 6</w:t>
      </w:r>
      <w:r>
        <w:rPr>
          <w:vertAlign w:val="superscript"/>
        </w:rPr>
        <w:t>th</w:t>
      </w:r>
      <w:r>
        <w:rPr/>
        <w:t xml:space="preserve"> day of November, 2001.</w:t>
      </w:r>
    </w:p>
    <w:p>
      <w:pPr>
        <w:pStyle w:val="Header"/>
        <w:rPr/>
      </w:pPr>
      <w:r>
        <w:rPr/>
      </w:r>
    </w:p>
    <w:p>
      <w:pPr>
        <w:pStyle w:val="Header"/>
        <w:rPr/>
      </w:pPr>
      <w:r>
        <w:rPr/>
      </w:r>
    </w:p>
    <w:p>
      <w:pPr>
        <w:pStyle w:val="Normal"/>
        <w:rPr/>
      </w:pPr>
      <w:r>
        <w:rPr/>
        <w:tab/>
        <w:tab/>
        <w:tab/>
        <w:tab/>
        <w:tab/>
        <w:tab/>
        <w:tab/>
        <w:t>______________________</w:t>
      </w:r>
    </w:p>
    <w:p>
      <w:pPr>
        <w:pStyle w:val="Normal"/>
        <w:rPr/>
      </w:pPr>
      <w:r>
        <w:rPr/>
        <w:tab/>
        <w:tab/>
        <w:tab/>
        <w:tab/>
        <w:tab/>
        <w:tab/>
        <w:tab/>
        <w:t>Jon R. Stickman</w:t>
      </w:r>
    </w:p>
    <w:sectPr>
      <w:headerReference w:type="default" r:id="rId2"/>
      <w:headerReference w:type="first" r:id="rId3"/>
      <w:type w:val="nextPage"/>
      <w:pgSz w:w="12240" w:h="15840"/>
      <w:pgMar w:left="1800" w:right="1440" w:gutter="0" w:header="720" w:top="1440" w:footer="0" w:bottom="180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720"/>
        </w:tabs>
        <w:ind w:start="720" w:hanging="720"/>
      </w:pPr>
      <w:rPr>
        <w:sz w:val="24"/>
        <w:rFonts w:ascii="Century Schoolbook" w:hAnsi="Century Schoolbook" w:cs="Century Schoolbook"/>
      </w:rPr>
    </w:lvl>
    <w:lvl w:ilvl="1">
      <w:start w:val="1"/>
      <w:pStyle w:val="Heading2"/>
      <w:numFmt w:val="decimal"/>
      <w:lvlText w:val="%2."/>
      <w:lvlJc w:val="start"/>
      <w:pPr>
        <w:tabs>
          <w:tab w:val="num" w:pos="2160"/>
        </w:tabs>
        <w:ind w:start="2160" w:hanging="720"/>
      </w:pPr>
      <w:rPr>
        <w:sz w:val="24"/>
        <w:rFonts w:ascii="Century Schoolbook" w:hAnsi="Century Schoolbook" w:cs="Century Schoolbook"/>
      </w:rPr>
    </w:lvl>
    <w:lvl w:ilvl="2">
      <w:start w:val="1"/>
      <w:pStyle w:val="Heading3"/>
      <w:numFmt w:val="decimal"/>
      <w:lvlText w:val="%3."/>
      <w:lvlJc w:val="start"/>
      <w:pPr>
        <w:tabs>
          <w:tab w:val="num" w:pos="2160"/>
        </w:tabs>
        <w:ind w:start="2160" w:hanging="720"/>
      </w:pPr>
      <w:rPr>
        <w:sz w:val="24"/>
        <w:rFonts w:ascii="Century Schoolbook" w:hAnsi="Century Schoolbook" w:cs="Century Schoolbook"/>
      </w:rPr>
    </w:lvl>
    <w:lvl w:ilvl="3">
      <w:start w:val="1"/>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abstractNum w:abstractNumId="2">
    <w:lvl w:ilvl="0">
      <w:start w:val="1"/>
      <w:numFmt w:val="upperRoman"/>
      <w:lvlText w:val="%1."/>
      <w:lvlJc w:val="start"/>
      <w:pPr>
        <w:tabs>
          <w:tab w:val="num" w:pos="720"/>
        </w:tabs>
        <w:ind w:start="720" w:hanging="720"/>
      </w:pPr>
      <w:rPr/>
    </w:lvl>
    <w:lvl w:ilvl="1">
      <w:start w:val="1"/>
      <w:numFmt w:val="upperLetter"/>
      <w:lvlText w:val="%2."/>
      <w:lvlJc w:val="start"/>
      <w:pPr>
        <w:tabs>
          <w:tab w:val="num" w:pos="1440"/>
        </w:tabs>
        <w:ind w:start="1440" w:hanging="720"/>
      </w:pPr>
      <w:rPr/>
    </w:lvl>
    <w:lvl w:ilvl="2">
      <w:start w:val="1"/>
      <w:numFmt w:val="decimal"/>
      <w:lvlText w:val="%3."/>
      <w:lvlJc w:val="start"/>
      <w:pPr>
        <w:tabs>
          <w:tab w:val="num" w:pos="2160"/>
        </w:tabs>
        <w:ind w:start="2160" w:hanging="720"/>
      </w:pPr>
      <w:rPr/>
    </w:lvl>
    <w:lvl w:ilvl="3">
      <w:start w:val="1"/>
      <w:numFmt w:val="lowerLetter"/>
      <w:lvlText w:val="%4)"/>
      <w:lvlJc w:val="start"/>
      <w:pPr>
        <w:tabs>
          <w:tab w:val="num" w:pos="2880"/>
        </w:tabs>
        <w:ind w:start="2880" w:hanging="720"/>
      </w:pPr>
      <w:rPr/>
    </w:lvl>
    <w:lvl w:ilvl="4">
      <w:start w:val="1"/>
      <w:numFmt w:val="decimal"/>
      <w:lvlText w:val="(%5)"/>
      <w:lvlJc w:val="start"/>
      <w:pPr>
        <w:tabs>
          <w:tab w:val="num" w:pos="3240"/>
        </w:tabs>
        <w:ind w:start="2880" w:hanging="0"/>
      </w:pPr>
      <w:rPr/>
    </w:lvl>
    <w:lvl w:ilvl="5">
      <w:start w:val="1"/>
      <w:numFmt w:val="lowerLetter"/>
      <w:lvlText w:val="(%6)"/>
      <w:lvlJc w:val="start"/>
      <w:pPr>
        <w:tabs>
          <w:tab w:val="num" w:pos="3960"/>
        </w:tabs>
        <w:ind w:start="3600" w:hanging="0"/>
      </w:pPr>
      <w:rPr/>
    </w:lvl>
    <w:lvl w:ilvl="6">
      <w:start w:val="1"/>
      <w:numFmt w:val="lowerRoman"/>
      <w:lvlText w:val="(%7)"/>
      <w:lvlJc w:val="start"/>
      <w:pPr>
        <w:tabs>
          <w:tab w:val="num" w:pos="4680"/>
        </w:tabs>
        <w:ind w:start="4320" w:hanging="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120"/>
        </w:tabs>
        <w:ind w:start="5760" w:hanging="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doNotBreakWrappedTables/>
    <w:compatSetting w:name="compatibilityMode" w:uri="http://schemas.microsoft.com/office/word" w:val="11"/>
  </w:compat>
  <w:docVars>
    <w:docVar w:name="zzmpFixedCurScheme" w:val="ingStyles"/>
    <w:docVar w:name="zzmpFixedCurScheme_9.0" w:val="1HeadingStyle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outlineLvl w:val="0"/>
    </w:pPr>
    <w:rPr>
      <w:rFonts w:cs="Arial"/>
      <w:bCs/>
      <w:kern w:val="2"/>
      <w:szCs w:val="32"/>
    </w:rPr>
  </w:style>
  <w:style w:type="paragraph" w:styleId="Heading2">
    <w:name w:val="heading 2"/>
    <w:basedOn w:val="Normal"/>
    <w:next w:val="BodyText"/>
    <w:qFormat/>
    <w:pPr>
      <w:keepNext w:val="true"/>
      <w:numPr>
        <w:ilvl w:val="1"/>
        <w:numId w:val="1"/>
      </w:numPr>
      <w:spacing w:before="0" w:after="240"/>
      <w:outlineLvl w:val="1"/>
    </w:pPr>
    <w:rPr>
      <w:rFonts w:cs="Arial"/>
      <w:bCs/>
      <w:iCs/>
      <w:szCs w:val="28"/>
    </w:rPr>
  </w:style>
  <w:style w:type="paragraph" w:styleId="Heading3">
    <w:name w:val="heading 3"/>
    <w:basedOn w:val="Normal"/>
    <w:next w:val="BodyText"/>
    <w:qFormat/>
    <w:pPr>
      <w:keepNext w:val="true"/>
      <w:numPr>
        <w:ilvl w:val="2"/>
        <w:numId w:val="1"/>
      </w:numPr>
      <w:tabs>
        <w:tab w:val="clear" w:pos="720"/>
        <w:tab w:val="left" w:pos="2880" w:leader="none"/>
      </w:tabs>
      <w:spacing w:before="0" w:after="240"/>
      <w:ind w:hanging="0" w:start="2880" w:end="0"/>
      <w:outlineLvl w:val="2"/>
    </w:pPr>
    <w:rPr>
      <w:rFonts w:cs="Arial"/>
      <w:bCs/>
      <w:szCs w:val="26"/>
    </w:rPr>
  </w:style>
  <w:style w:type="paragraph" w:styleId="Heading4">
    <w:name w:val="heading 4"/>
    <w:basedOn w:val="Normal"/>
    <w:next w:val="Normal"/>
    <w:qFormat/>
    <w:pPr>
      <w:keepNext w:val="true"/>
      <w:numPr>
        <w:ilvl w:val="0"/>
        <w:numId w:val="2"/>
      </w:numPr>
      <w:tabs>
        <w:tab w:val="clear" w:pos="720"/>
        <w:tab w:val="left" w:pos="3600" w:leader="none"/>
      </w:tabs>
      <w:spacing w:before="0" w:after="240"/>
      <w:ind w:hanging="0" w:start="3600" w:end="720"/>
      <w:outlineLvl w:val="3"/>
    </w:pPr>
    <w:rPr>
      <w:bCs/>
      <w:szCs w:val="28"/>
    </w:rPr>
  </w:style>
  <w:style w:type="paragraph" w:styleId="Heading5">
    <w:name w:val="heading 5"/>
    <w:basedOn w:val="Normal"/>
    <w:next w:val="Normal"/>
    <w:qFormat/>
    <w:pPr>
      <w:keepNext w:val="true"/>
      <w:numPr>
        <w:ilvl w:val="4"/>
        <w:numId w:val="1"/>
      </w:numPr>
      <w:tabs>
        <w:tab w:val="clear" w:pos="720"/>
        <w:tab w:val="left" w:pos="4320" w:leader="none"/>
      </w:tabs>
      <w:spacing w:before="240" w:after="60"/>
      <w:ind w:hanging="720" w:start="4320" w:end="0"/>
      <w:outlineLvl w:val="4"/>
    </w:pPr>
    <w:rPr>
      <w:bCs/>
      <w:iCs/>
      <w:szCs w:val="26"/>
    </w:rPr>
  </w:style>
  <w:style w:type="paragraph" w:styleId="Heading6">
    <w:name w:val="heading 6"/>
    <w:basedOn w:val="Normal"/>
    <w:next w:val="Normal"/>
    <w:qFormat/>
    <w:pPr>
      <w:keepNext w:val="true"/>
      <w:numPr>
        <w:ilvl w:val="5"/>
        <w:numId w:val="1"/>
      </w:numPr>
      <w:tabs>
        <w:tab w:val="clear" w:pos="720"/>
        <w:tab w:val="left" w:pos="5040" w:leader="none"/>
      </w:tabs>
      <w:spacing w:before="240" w:after="60"/>
      <w:ind w:hanging="720" w:start="5040" w:end="0"/>
      <w:outlineLvl w:val="5"/>
    </w:pPr>
    <w:rPr>
      <w:bCs/>
      <w:szCs w:val="22"/>
    </w:rPr>
  </w:style>
  <w:style w:type="paragraph" w:styleId="Heading7">
    <w:name w:val="heading 7"/>
    <w:basedOn w:val="Normal"/>
    <w:next w:val="Normal"/>
    <w:qFormat/>
    <w:pPr>
      <w:keepNext w:val="true"/>
      <w:numPr>
        <w:ilvl w:val="6"/>
        <w:numId w:val="1"/>
      </w:numPr>
      <w:tabs>
        <w:tab w:val="clear" w:pos="720"/>
        <w:tab w:val="left" w:pos="5760" w:leader="none"/>
      </w:tabs>
      <w:spacing w:before="240" w:after="60"/>
      <w:ind w:hanging="720" w:start="5760" w:end="0"/>
      <w:outlineLvl w:val="6"/>
    </w:pPr>
    <w:rPr/>
  </w:style>
  <w:style w:type="paragraph" w:styleId="Heading8">
    <w:name w:val="heading 8"/>
    <w:basedOn w:val="Normal"/>
    <w:next w:val="Normal"/>
    <w:qFormat/>
    <w:pPr>
      <w:keepNext w:val="true"/>
      <w:numPr>
        <w:ilvl w:val="7"/>
        <w:numId w:val="1"/>
      </w:numPr>
      <w:tabs>
        <w:tab w:val="clear" w:pos="720"/>
        <w:tab w:val="left" w:pos="6480" w:leader="none"/>
      </w:tabs>
      <w:spacing w:before="240" w:after="60"/>
      <w:ind w:hanging="720" w:start="6480" w:end="0"/>
      <w:outlineLvl w:val="7"/>
    </w:pPr>
    <w:rPr>
      <w:iCs/>
    </w:rPr>
  </w:style>
  <w:style w:type="paragraph" w:styleId="Heading9">
    <w:name w:val="heading 9"/>
    <w:basedOn w:val="Normal"/>
    <w:next w:val="Normal"/>
    <w:qFormat/>
    <w:pPr>
      <w:keepNext w:val="true"/>
      <w:numPr>
        <w:ilvl w:val="8"/>
        <w:numId w:val="1"/>
      </w:numPr>
      <w:tabs>
        <w:tab w:val="clear" w:pos="720"/>
        <w:tab w:val="left" w:pos="7200" w:leader="none"/>
      </w:tabs>
      <w:spacing w:before="240" w:after="60"/>
      <w:ind w:hanging="720" w:start="7200" w:end="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Century Schoolbook" w:hAnsi="Century Schoolbook" w:cs="Century Schoolbook"/>
      <w:sz w:val="24"/>
    </w:rPr>
  </w:style>
  <w:style w:type="character" w:styleId="WW8Num11z3">
    <w:name w:val="WW8Num11z3"/>
    <w:qFormat/>
    <w:rPr/>
  </w:style>
  <w:style w:type="character" w:styleId="WW8Num12z0">
    <w:name w:val="WW8Num12z0"/>
    <w:qFormat/>
    <w:rPr>
      <w:rFonts w:ascii="Century Schoolbook" w:hAnsi="Century Schoolbook" w:cs="Century Schoolbook"/>
      <w:b w:val="false"/>
      <w:i w:val="false"/>
      <w:sz w:val="24"/>
    </w:rPr>
  </w:style>
  <w:style w:type="character" w:styleId="WW8Num12z1">
    <w:name w:val="WW8Num12z1"/>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DefaultParagraphFont">
    <w:name w:val="Default Paragraph Font"/>
    <w:qFormat/>
    <w:rPr/>
  </w:style>
  <w:style w:type="character" w:styleId="CommentReference">
    <w:name w:val="Comment Reference"/>
    <w:basedOn w:val="DefaultParagraphFont"/>
    <w:qFormat/>
    <w:rPr>
      <w:rFonts w:ascii="Century Schoolbook" w:hAnsi="Century Schoolbook" w:cs="Century Schoolbook"/>
      <w:sz w:val="16"/>
      <w:szCs w:val="16"/>
    </w:rPr>
  </w:style>
  <w:style w:type="character" w:styleId="Emphasis">
    <w:name w:val="Emphasis"/>
    <w:basedOn w:val="DefaultParagraphFont"/>
    <w:qFormat/>
    <w:rPr>
      <w:rFonts w:ascii="Century Schoolbook" w:hAnsi="Century Schoolbook" w:cs="Century Schoolbook"/>
      <w:iCs/>
    </w:rPr>
  </w:style>
  <w:style w:type="character" w:styleId="EndnoteCharacters">
    <w:name w:val="Endnote Characters"/>
    <w:basedOn w:val="DefaultParagraphFont"/>
    <w:qFormat/>
    <w:rPr>
      <w:rFonts w:ascii="Century Schoolbook" w:hAnsi="Century Schoolbook" w:cs="Century Schoolbook"/>
      <w:vertAlign w:val="superscript"/>
    </w:rPr>
  </w:style>
  <w:style w:type="character" w:styleId="FootnoteCharacters">
    <w:name w:val="Footnote Characters"/>
    <w:basedOn w:val="DefaultParagraphFont"/>
    <w:qFormat/>
    <w:rPr>
      <w:rFonts w:ascii="Century Schoolbook" w:hAnsi="Century Schoolbook" w:cs="Century Schoolbook"/>
      <w:position w:val="0"/>
      <w:sz w:val="24"/>
      <w:u w:val="single"/>
      <w:vertAlign w:val="baseline"/>
    </w:rPr>
  </w:style>
  <w:style w:type="character" w:styleId="Hyperlink">
    <w:name w:val="Hyperlink"/>
    <w:basedOn w:val="DefaultParagraphFont"/>
    <w:rPr>
      <w:rFonts w:ascii="Century Schoolbook" w:hAnsi="Century Schoolbook" w:cs="Century Schoolbook"/>
      <w:color w:val="0000FF"/>
      <w:u w:val="single"/>
    </w:rPr>
  </w:style>
  <w:style w:type="character" w:styleId="LineNumber">
    <w:name w:val="line number"/>
    <w:basedOn w:val="DefaultParagraphFont"/>
    <w:rPr>
      <w:rFonts w:ascii="Century Schoolbook" w:hAnsi="Century Schoolbook" w:cs="Century Schoolbook"/>
    </w:rPr>
  </w:style>
  <w:style w:type="character" w:styleId="PageNumber">
    <w:name w:val="page number"/>
    <w:basedOn w:val="DefaultParagraphFont"/>
    <w:rPr>
      <w:rFonts w:ascii="Century Schoolbook" w:hAnsi="Century Schoolbook" w:cs="Century Schoolbook"/>
    </w:rPr>
  </w:style>
  <w:style w:type="character" w:styleId="Strong">
    <w:name w:val="Strong"/>
    <w:basedOn w:val="DefaultParagraphFont"/>
    <w:qFormat/>
    <w:rPr>
      <w:rFonts w:ascii="Century Schoolbook" w:hAnsi="Century Schoolbook" w:cs="Century Schoolbook"/>
      <w:b/>
      <w:bCs/>
    </w:rPr>
  </w:style>
  <w:style w:type="paragraph" w:styleId="Heading">
    <w:name w:val="Heading"/>
    <w:basedOn w:val="Normal"/>
    <w:next w:val="BodyText"/>
    <w:qFormat/>
    <w:pPr>
      <w:spacing w:before="240" w:after="60"/>
      <w:jc w:val="center"/>
      <w:outlineLvl w:val="0"/>
    </w:pPr>
    <w:rPr>
      <w:rFonts w:cs="Arial"/>
      <w:b/>
      <w:bCs/>
      <w:kern w:val="2"/>
      <w:sz w:val="32"/>
      <w:szCs w:val="32"/>
    </w:rPr>
  </w:style>
  <w:style w:type="paragraph" w:styleId="BodyText">
    <w:name w:val="Body Text"/>
    <w:basedOn w:val="Normal"/>
    <w:pPr>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next w:val="Normal"/>
    <w:pPr/>
    <w:rPr>
      <w:lang w:bidi="ar-SA"/>
    </w:rPr>
  </w:style>
  <w:style w:type="paragraph" w:styleId="DeliveryMethod">
    <w:name w:val="Delivery Method"/>
    <w:basedOn w:val="Normal"/>
    <w:next w:val="EnvelopeAddress"/>
    <w:qFormat/>
    <w:pPr>
      <w:spacing w:before="0" w:after="240"/>
    </w:pPr>
    <w:rPr>
      <w:b/>
      <w:cap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000" w:leader="none"/>
      </w:tabs>
    </w:pPr>
    <w:rPr>
      <w:rFonts w:ascii="Century Schoolbook" w:hAnsi="Century Schoolbook" w:cs="Century Schoolbook"/>
    </w:rPr>
  </w:style>
  <w:style w:type="paragraph" w:styleId="Header">
    <w:name w:val="header"/>
    <w:basedOn w:val="Normal"/>
    <w:pPr>
      <w:tabs>
        <w:tab w:val="clear" w:pos="720"/>
        <w:tab w:val="center" w:pos="4680" w:leader="none"/>
        <w:tab w:val="right" w:pos="9000" w:leader="none"/>
      </w:tabs>
    </w:pPr>
    <w:rPr>
      <w:rFonts w:ascii="Century Schoolbook" w:hAnsi="Century Schoolbook" w:cs="Century Schoolbook"/>
    </w:rPr>
  </w:style>
  <w:style w:type="paragraph" w:styleId="LetterDate">
    <w:name w:val="Letter Date"/>
    <w:basedOn w:val="Normal"/>
    <w:next w:val="BodyText"/>
    <w:qFormat/>
    <w:pPr>
      <w:jc w:val="center"/>
    </w:pPr>
    <w:rPr/>
  </w:style>
  <w:style w:type="paragraph" w:styleId="LetterSignature">
    <w:name w:val="Letter Signature"/>
    <w:basedOn w:val="Normal"/>
    <w:qFormat/>
    <w:pPr>
      <w:keepNext w:val="true"/>
      <w:keepLines/>
      <w:ind w:hanging="0" w:start="4680" w:end="0"/>
    </w:pPr>
    <w:rPr>
      <w:szCs w:val="24"/>
      <w:lang w:bidi="ar-SA"/>
    </w:rPr>
  </w:style>
  <w:style w:type="paragraph" w:styleId="LetterSignatureSub">
    <w:name w:val="Letter Signature Sub"/>
    <w:basedOn w:val="LetterSignature"/>
    <w:qFormat/>
    <w:pPr>
      <w:spacing w:before="240" w:after="0"/>
      <w:ind w:hanging="720" w:start="720" w:end="0"/>
    </w:pPr>
    <w:rPr/>
  </w:style>
  <w:style w:type="paragraph" w:styleId="Letterhead">
    <w:name w:val="Letterhead"/>
    <w:qFormat/>
    <w:pPr>
      <w:widowControl/>
      <w:bidi w:val="0"/>
      <w:jc w:val="center"/>
    </w:pPr>
    <w:rPr>
      <w:rFonts w:ascii="Arial Narrow" w:hAnsi="Arial Narrow" w:eastAsia="Times New Roman" w:cs="Arial Narrow"/>
      <w:color w:val="auto"/>
      <w:spacing w:val="2"/>
      <w:sz w:val="16"/>
      <w:szCs w:val="20"/>
      <w:lang w:val="en-US" w:eastAsia="en-CA" w:bidi="ar-SA"/>
    </w:rPr>
  </w:style>
  <w:style w:type="paragraph" w:styleId="LetterheadAuthor">
    <w:name w:val="Letterhead Author"/>
    <w:basedOn w:val="Letterhead"/>
    <w:qFormat/>
    <w:pPr>
      <w:ind w:hanging="0" w:start="115" w:end="43"/>
    </w:pPr>
    <w:rPr>
      <w:smallCaps/>
    </w:rPr>
  </w:style>
  <w:style w:type="paragraph" w:styleId="ReLine">
    <w:name w:val="ReLine"/>
    <w:basedOn w:val="Normal"/>
    <w:next w:val="Normal"/>
    <w:qFormat/>
    <w:pPr>
      <w:spacing w:before="240" w:after="0"/>
      <w:ind w:hanging="720" w:start="2160" w:end="0"/>
    </w:pPr>
    <w:rPr>
      <w:szCs w:val="20"/>
    </w:rPr>
  </w:style>
  <w:style w:type="paragraph" w:styleId="Salutation">
    <w:name w:val="Salutation"/>
    <w:basedOn w:val="Normal"/>
    <w:next w:val="BodyText"/>
    <w:qFormat/>
    <w:pPr>
      <w:spacing w:before="240" w:after="240"/>
    </w:pPr>
    <w:rPr>
      <w:szCs w:val="20"/>
    </w:rPr>
  </w:style>
  <w:style w:type="paragraph" w:styleId="BlockText">
    <w:name w:val="Block Text"/>
    <w:basedOn w:val="Normal"/>
    <w:qFormat/>
    <w:pPr>
      <w:ind w:hanging="0" w:start="1440" w:end="1440"/>
    </w:pPr>
    <w:rPr>
      <w:rFonts w:ascii="Century Schoolbook" w:hAnsi="Century Schoolbook" w:cs="Century Schoolbook"/>
    </w:rPr>
  </w:style>
  <w:style w:type="paragraph" w:styleId="RecipientName">
    <w:name w:val="RecipientName"/>
    <w:basedOn w:val="Normal"/>
    <w:next w:val="Normal"/>
    <w:qFormat/>
    <w:pPr>
      <w:keepNext w:val="true"/>
    </w:pPr>
    <w:rPr/>
  </w:style>
  <w:style w:type="paragraph" w:styleId="RecipientAddress">
    <w:name w:val="RecipientAddress"/>
    <w:basedOn w:val="Normal"/>
    <w:next w:val="Normal"/>
    <w:qFormat/>
    <w:pPr/>
    <w:rPr/>
  </w:style>
  <w:style w:type="paragraph" w:styleId="Statement">
    <w:name w:val="Statement"/>
    <w:basedOn w:val="Normal"/>
    <w:next w:val="Normal"/>
    <w:qFormat/>
    <w:pPr>
      <w:spacing w:before="0" w:after="480"/>
      <w:jc w:val="center"/>
    </w:pPr>
    <w:rPr>
      <w:b/>
      <w:caps/>
    </w:rPr>
  </w:style>
  <w:style w:type="paragraph" w:styleId="PersonalInfo">
    <w:name w:val="PersonalInfo"/>
    <w:basedOn w:val="Normal"/>
    <w:next w:val="Normal"/>
    <w:qFormat/>
    <w:pPr>
      <w:spacing w:before="0" w:after="240"/>
      <w:ind w:hanging="0" w:start="0" w:end="7200"/>
      <w:jc w:val="center"/>
    </w:pPr>
    <w:rPr>
      <w:sz w:val="18"/>
    </w:rPr>
  </w:style>
  <w:style w:type="paragraph" w:styleId="EnvelopeAddress1">
    <w:name w:val="Envelope Address1"/>
    <w:basedOn w:val="Normal"/>
    <w:qFormat/>
    <w:pPr>
      <w:ind w:hanging="0" w:start="2880" w:end="0"/>
    </w:pPr>
    <w:rPr>
      <w:rFonts w:ascii="Century Schoolbook" w:hAnsi="Century Schoolbook" w:cs="Arial"/>
    </w:rPr>
  </w:style>
  <w:style w:type="paragraph" w:styleId="EnvelopeReturn">
    <w:name w:val="envelope return"/>
    <w:basedOn w:val="Normal"/>
    <w:pPr/>
    <w:rPr>
      <w:rFonts w:ascii="Century Schoolbook" w:hAnsi="Century Schoolbook" w:cs="Arial"/>
      <w:sz w:val="20"/>
      <w:szCs w:val="20"/>
    </w:rPr>
  </w:style>
  <w:style w:type="paragraph" w:styleId="FootnoteText">
    <w:name w:val="footnote text"/>
    <w:basedOn w:val="Normal"/>
    <w:pPr>
      <w:spacing w:before="0" w:after="240"/>
      <w:ind w:hanging="720" w:start="720" w:end="0"/>
    </w:pPr>
    <w:rPr>
      <w:szCs w:val="20"/>
    </w:rPr>
  </w:style>
  <w:style w:type="paragraph" w:styleId="Index1">
    <w:name w:val="index 1"/>
    <w:basedOn w:val="Normal"/>
    <w:next w:val="Normal"/>
    <w:pPr>
      <w:ind w:hanging="240" w:start="240" w:end="0"/>
    </w:pPr>
    <w:rPr>
      <w:rFonts w:ascii="Century Schoolbook" w:hAnsi="Century Schoolbook" w:cs="Century Schoolbook"/>
    </w:rPr>
  </w:style>
  <w:style w:type="paragraph" w:styleId="IndexHeading">
    <w:name w:val="index heading"/>
    <w:basedOn w:val="Normal"/>
    <w:next w:val="Index1"/>
    <w:pPr/>
    <w:rPr>
      <w:rFonts w:ascii="Century Schoolbook" w:hAnsi="Century Schoolbook" w:cs="Arial"/>
      <w:b/>
      <w:bCs/>
    </w:rPr>
  </w:style>
  <w:style w:type="paragraph" w:styleId="Subtitle">
    <w:name w:val="Subtitle"/>
    <w:basedOn w:val="Normal"/>
    <w:next w:val="BodyText"/>
    <w:qFormat/>
    <w:pPr>
      <w:spacing w:before="0" w:after="60"/>
      <w:jc w:val="center"/>
      <w:outlineLvl w:val="1"/>
    </w:pPr>
    <w:rPr>
      <w:rFonts w:cs="Arial"/>
    </w:rPr>
  </w:style>
  <w:style w:type="paragraph" w:styleId="TOAHeading">
    <w:name w:val="TOA Heading"/>
    <w:basedOn w:val="Normal"/>
    <w:next w:val="Normal"/>
    <w:qFormat/>
    <w:pPr>
      <w:spacing w:before="120" w:after="0"/>
    </w:pPr>
    <w:rPr>
      <w:rFonts w:cs="Arial"/>
      <w:b/>
      <w:bCs/>
    </w:rPr>
  </w:style>
  <w:style w:type="paragraph" w:styleId="TOC9">
    <w:name w:val="toc 9"/>
    <w:basedOn w:val="Normal"/>
    <w:next w:val="Normal"/>
    <w:pPr>
      <w:ind w:hanging="0" w:start="19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2001-11-06T12:34:00Z</dcterms:created>
  <dc:creator> </dc:creator>
  <dc:description/>
  <dc:language>en-CA</dc:language>
  <cp:lastModifiedBy> </cp:lastModifiedBy>
  <cp:lastPrinted>2001-11-06T15:32:00Z</cp:lastPrinted>
  <dcterms:modified xsi:type="dcterms:W3CDTF">2001-11-06T19:11:00Z</dcterms:modified>
  <cp:revision>8</cp:revision>
  <dc:subject/>
  <dc:title>November 6, 2001</dc:title>
</cp:coreProperties>
</file>