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sz w:val="22"/>
              </w:rPr>
            </w:pPr>
            <w:r>
              <w:rPr>
                <w:b/>
                <w:sz w:val="22"/>
              </w:rPr>
              <w:t xml:space="preserve">                           </w:t>
            </w:r>
            <w:r>
              <w:rPr>
                <w:b/>
                <w:sz w:val="22"/>
              </w:rPr>
              <w:t>Risk Management &amp; Trade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r>
        <w:trPr/>
        <w:tc>
          <w:tcPr>
            <w:tcW w:w="4698" w:type="dxa"/>
            <w:tcBorders/>
          </w:tcPr>
          <w:p>
            <w:pPr>
              <w:pStyle w:val="Footer"/>
              <w:tabs>
                <w:tab w:val="clear" w:pos="4320"/>
                <w:tab w:val="clear" w:pos="8640"/>
              </w:tabs>
              <w:snapToGrid w:val="false"/>
              <w:rPr>
                <w:sz w:val="22"/>
              </w:rPr>
            </w:pPr>
            <w:r>
              <w:rPr>
                <w:sz w:val="22"/>
              </w:rPr>
            </w:r>
          </w:p>
        </w:tc>
        <w:tc>
          <w:tcPr>
            <w:tcW w:w="4878" w:type="dxa"/>
            <w:tcBorders/>
          </w:tcPr>
          <w:p>
            <w:pPr>
              <w:pStyle w:val="Normal"/>
              <w:tabs>
                <w:tab w:val="clear" w:pos="720"/>
                <w:tab w:val="left" w:pos="2412" w:leader="none"/>
              </w:tabs>
              <w:snapToGrid w:val="false"/>
              <w:rPr>
                <w:b/>
                <w:sz w:val="22"/>
              </w:rPr>
            </w:pPr>
            <w:r>
              <w:rPr>
                <w:b/>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Chali Zulu</w:t>
      </w:r>
    </w:p>
    <w:p>
      <w:pPr>
        <w:pStyle w:val="Normal"/>
        <w:jc w:val="both"/>
        <w:rPr/>
      </w:pPr>
      <w:r>
        <w:rPr/>
      </w:r>
    </w:p>
    <w:p>
      <w:pPr>
        <w:pStyle w:val="Normal"/>
        <w:jc w:val="both"/>
        <w:rPr/>
      </w:pPr>
      <w:r>
        <w:rPr/>
        <w:t>Telephone:</w:t>
        <w:tab/>
        <w:t>01144207/783-2287</w:t>
      </w:r>
    </w:p>
    <w:p>
      <w:pPr>
        <w:pStyle w:val="Normal"/>
        <w:jc w:val="both"/>
        <w:rPr/>
      </w:pPr>
      <w:r>
        <w:rPr/>
      </w:r>
    </w:p>
    <w:p>
      <w:pPr>
        <w:pStyle w:val="Normal"/>
        <w:jc w:val="both"/>
        <w:rPr/>
      </w:pPr>
      <w:r>
        <w:rPr/>
        <w:t xml:space="preserve">Fax No.: </w:t>
        <w:tab/>
        <w:t>01144207/783-1238</w:t>
        <w:tab/>
      </w:r>
    </w:p>
    <w:p>
      <w:pPr>
        <w:pStyle w:val="Normal"/>
        <w:jc w:val="both"/>
        <w:rPr/>
      </w:pPr>
      <w:r>
        <w:rPr/>
      </w:r>
    </w:p>
    <w:p>
      <w:pPr>
        <w:pStyle w:val="Normal"/>
        <w:jc w:val="both"/>
        <w:rPr/>
      </w:pPr>
      <w:r>
        <w:rPr/>
        <w:t>From:</w:t>
        <w:tab/>
        <w:tab/>
        <w:t>Risk Management &amp; Trading Corp. (“Party A”)</w:t>
      </w:r>
    </w:p>
    <w:p>
      <w:pPr>
        <w:pStyle w:val="Normal"/>
        <w:jc w:val="both"/>
        <w:rPr/>
      </w:pPr>
      <w:r>
        <w:rPr/>
      </w:r>
    </w:p>
    <w:p>
      <w:pPr>
        <w:pStyle w:val="Normal"/>
        <w:jc w:val="both"/>
        <w:rPr>
          <w:color w:val="FF0000"/>
        </w:rPr>
      </w:pPr>
      <w:r>
        <w:rPr/>
        <w:t>RE:</w:t>
        <w:tab/>
        <w:tab/>
        <w:t>Equity Basket Swap Transaction, Deal No. EIXPCG01172001</w:t>
      </w:r>
    </w:p>
    <w:p>
      <w:pPr>
        <w:pStyle w:val="Normal"/>
        <w:jc w:val="both"/>
        <w:rPr>
          <w:color w:val="FF0000"/>
        </w:rPr>
      </w:pPr>
      <w:r>
        <w:rPr>
          <w:color w:val="FF0000"/>
        </w:rPr>
      </w:r>
    </w:p>
    <w:p>
      <w:pPr>
        <w:pStyle w:val="Normal"/>
        <w:jc w:val="both"/>
        <w:rPr/>
      </w:pPr>
      <w:r>
        <w:rPr/>
        <w:t>The purpose of this letter (this “Confirmation”) is to confirm the terms and conditions of the transaction entered into between Enron Europe Limited</w:t>
      </w:r>
      <w:r>
        <w:rPr>
          <w:color w:val="FF0000"/>
        </w:rPr>
        <w:t xml:space="preserve"> </w:t>
      </w:r>
      <w:r>
        <w:rPr/>
        <w:t>and Risk Management &amp; Trade Corporation on the Trade Date specified below (the “Transaction”).</w:t>
      </w:r>
    </w:p>
    <w:p>
      <w:pPr>
        <w:pStyle w:val="Normal"/>
        <w:jc w:val="both"/>
        <w:rPr/>
      </w:pPr>
      <w:r>
        <w:rPr/>
      </w:r>
    </w:p>
    <w:p>
      <w:pPr>
        <w:pStyle w:val="Normal"/>
        <w:jc w:val="both"/>
        <w:rPr/>
      </w:pPr>
      <w:r>
        <w:rPr/>
        <w:t>The definitions and provisions contained in the 2000 ISDA Definitions (the “Swap Definitions”) and the 1996 ISDA Equity Derivatives Definitions (the “Equity Definitions”) (collectively, the “Definitions”), both published by the International Swaps and Derivatives Association, Inc., are incorporated into this Confirmation. In the event of any inconsistency between either set of  Definitions and this Confirmation, this Confirmation will prevail. In the event of any inconsistency between the Swap Definitions and the Equity Definitions, the Equity Definitions will prevail.</w:t>
      </w:r>
    </w:p>
    <w:p>
      <w:pPr>
        <w:pStyle w:val="Normal"/>
        <w:jc w:val="both"/>
        <w:rPr/>
      </w:pPr>
      <w:r>
        <w:rPr/>
      </w:r>
    </w:p>
    <w:p>
      <w:pPr>
        <w:pStyle w:val="Normal"/>
        <w:jc w:val="both"/>
        <w:rPr/>
      </w:pPr>
      <w:r>
        <w:rPr/>
        <w:t>1.    This Confirmation constitutes a “Confirmation” as referred to in, and supplements, forms a part of, and is subject to, the ISDA Master Agreement dated as of March 31, 1997, as amended and supplemented from time to time (the “Agreement”), between the parties. All provisions contained in the Agreement govern this Confirmation except as expressly modified below.</w:t>
      </w:r>
    </w:p>
    <w:p>
      <w:pPr>
        <w:pStyle w:val="Normal"/>
        <w:rPr/>
      </w:pPr>
      <w:r>
        <w:rPr/>
      </w:r>
    </w:p>
    <w:p>
      <w:pPr>
        <w:pStyle w:val="Normal"/>
        <w:numPr>
          <w:ilvl w:val="0"/>
          <w:numId w:val="5"/>
        </w:numPr>
        <w:rPr/>
      </w:pPr>
      <w:r>
        <w:rPr/>
        <w:t>The terms of the particular Transaction to which  this Confirmation relates are as follows:</w:t>
      </w:r>
    </w:p>
    <w:p>
      <w:pPr>
        <w:pStyle w:val="Normal"/>
        <w:rPr/>
      </w:pPr>
      <w:r>
        <w:rPr/>
      </w:r>
    </w:p>
    <w:p>
      <w:pPr>
        <w:pStyle w:val="Normal"/>
        <w:rPr/>
      </w:pPr>
      <w:r>
        <w:rPr/>
        <w:t>General Terms:</w:t>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3888"/>
        <w:gridCol w:w="90"/>
        <w:gridCol w:w="270"/>
        <w:gridCol w:w="540"/>
        <w:gridCol w:w="4410"/>
        <w:gridCol w:w="90"/>
        <w:gridCol w:w="810"/>
      </w:tblGrid>
      <w:tr>
        <w:trPr/>
        <w:tc>
          <w:tcPr>
            <w:tcW w:w="3888" w:type="dxa"/>
            <w:tcBorders/>
          </w:tcPr>
          <w:p>
            <w:pPr>
              <w:pStyle w:val="Normal"/>
              <w:ind w:start="720" w:end="0"/>
              <w:rPr/>
            </w:pPr>
            <w:r>
              <w:rPr/>
              <w:t>Trade Date:</w:t>
            </w:r>
          </w:p>
        </w:tc>
        <w:tc>
          <w:tcPr>
            <w:tcW w:w="5310" w:type="dxa"/>
            <w:gridSpan w:val="4"/>
            <w:tcBorders/>
          </w:tcPr>
          <w:p>
            <w:pPr>
              <w:pStyle w:val="Normal"/>
              <w:rPr/>
            </w:pPr>
            <w:r>
              <w:rPr/>
              <w:t>As specified in Annex I or Annex II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Effective Date:</w:t>
            </w:r>
          </w:p>
        </w:tc>
        <w:tc>
          <w:tcPr>
            <w:tcW w:w="5310" w:type="dxa"/>
            <w:gridSpan w:val="4"/>
            <w:tcBorders/>
          </w:tcPr>
          <w:p>
            <w:pPr>
              <w:pStyle w:val="Normal"/>
              <w:rPr/>
            </w:pPr>
            <w:r>
              <w:rPr/>
              <w:t>As specified in Annex I or Annex II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Termination Date:</w:t>
            </w:r>
          </w:p>
        </w:tc>
        <w:tc>
          <w:tcPr>
            <w:tcW w:w="5310" w:type="dxa"/>
            <w:gridSpan w:val="4"/>
            <w:tcBorders/>
          </w:tcPr>
          <w:p>
            <w:pPr>
              <w:pStyle w:val="Normal"/>
              <w:rPr/>
            </w:pPr>
            <w:r>
              <w:rPr/>
              <w:t>January 17, 2002</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Basket:</w:t>
            </w:r>
          </w:p>
        </w:tc>
        <w:tc>
          <w:tcPr>
            <w:tcW w:w="5310" w:type="dxa"/>
            <w:gridSpan w:val="4"/>
            <w:tcBorders/>
          </w:tcPr>
          <w:p>
            <w:pPr>
              <w:pStyle w:val="Normal"/>
              <w:rPr/>
            </w:pPr>
            <w:r>
              <w:rPr/>
              <w:t>As specified in Annex I or Annex II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Exchange(s):</w:t>
            </w:r>
          </w:p>
        </w:tc>
        <w:tc>
          <w:tcPr>
            <w:tcW w:w="5310" w:type="dxa"/>
            <w:gridSpan w:val="4"/>
            <w:tcBorders/>
          </w:tcPr>
          <w:p>
            <w:pPr>
              <w:pStyle w:val="Normal"/>
              <w:rPr/>
            </w:pPr>
            <w:r>
              <w:rPr/>
              <w:t>As specified in Annex I or Annex II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Related Exchange(s):</w:t>
            </w:r>
          </w:p>
        </w:tc>
        <w:tc>
          <w:tcPr>
            <w:tcW w:w="5310" w:type="dxa"/>
            <w:gridSpan w:val="4"/>
            <w:tcBorders/>
          </w:tcPr>
          <w:p>
            <w:pPr>
              <w:pStyle w:val="Normal"/>
              <w:rPr/>
            </w:pPr>
            <w:r>
              <w:rPr/>
              <w:t>Not 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Period:</w:t>
            </w:r>
          </w:p>
        </w:tc>
        <w:tc>
          <w:tcPr>
            <w:tcW w:w="5310" w:type="dxa"/>
            <w:gridSpan w:val="4"/>
            <w:tcBorders/>
          </w:tcPr>
          <w:p>
            <w:pPr>
              <w:pStyle w:val="Normal"/>
              <w:rPr>
                <w:color w:val="000000"/>
                <w:lang w:eastAsia="en-US"/>
              </w:rPr>
            </w:pPr>
            <w:r>
              <w:rPr>
                <w:color w:val="000000"/>
                <w:lang w:eastAsia="en-US"/>
              </w:rPr>
              <w:t>Each period from,and including, one Valuation Date to, but excluding the next following applicable Valuation Date during the Term of the Transaction, except that (a) the initial Calculation Period will commence on, and include, January 17, 2001 and (b) the final Calculation Period will end on, but exclude, the Termination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Calculation Agent:</w:t>
            </w:r>
          </w:p>
        </w:tc>
        <w:tc>
          <w:tcPr>
            <w:tcW w:w="5310" w:type="dxa"/>
            <w:gridSpan w:val="4"/>
            <w:tcBorders/>
          </w:tcPr>
          <w:p>
            <w:pPr>
              <w:pStyle w:val="Normal"/>
              <w:rPr/>
            </w:pPr>
            <w:r>
              <w:rPr/>
              <w:t>Party A</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Days:</w:t>
            </w:r>
          </w:p>
        </w:tc>
        <w:tc>
          <w:tcPr>
            <w:tcW w:w="5310" w:type="dxa"/>
            <w:gridSpan w:val="4"/>
            <w:tcBorders/>
          </w:tcPr>
          <w:p>
            <w:pPr>
              <w:pStyle w:val="Normal"/>
              <w:rPr/>
            </w:pPr>
            <w:r>
              <w:rPr/>
              <w:t>New York, London</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720" w:end="0"/>
              <w:rPr/>
            </w:pPr>
            <w:r>
              <w:rPr/>
              <w:t>Business Day Convention:</w:t>
            </w:r>
          </w:p>
        </w:tc>
        <w:tc>
          <w:tcPr>
            <w:tcW w:w="5310" w:type="dxa"/>
            <w:gridSpan w:val="4"/>
            <w:tcBorders/>
          </w:tcPr>
          <w:p>
            <w:pPr>
              <w:pStyle w:val="Normal"/>
              <w:rPr/>
            </w:pPr>
            <w:r>
              <w:rPr/>
              <w:t>Modified Following</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72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Equity Amounts Payable by Equity Amount Payer:</w:t>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Amount Payer:</w:t>
            </w:r>
          </w:p>
        </w:tc>
        <w:tc>
          <w:tcPr>
            <w:tcW w:w="5310" w:type="dxa"/>
            <w:gridSpan w:val="4"/>
            <w:tcBorders/>
          </w:tcPr>
          <w:p>
            <w:pPr>
              <w:pStyle w:val="Normal"/>
              <w:rPr/>
            </w:pPr>
            <w:r>
              <w:rPr/>
              <w:t>Party B</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Baskets:</w:t>
            </w:r>
          </w:p>
        </w:tc>
        <w:tc>
          <w:tcPr>
            <w:tcW w:w="5310" w:type="dxa"/>
            <w:gridSpan w:val="4"/>
            <w:tcBorders/>
          </w:tcPr>
          <w:p>
            <w:pPr>
              <w:pStyle w:val="Normal"/>
              <w:rPr/>
            </w:pPr>
            <w:r>
              <w:rPr/>
              <w:t>1</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Amount:</w:t>
            </w:r>
          </w:p>
        </w:tc>
        <w:tc>
          <w:tcPr>
            <w:tcW w:w="5310" w:type="dxa"/>
            <w:gridSpan w:val="4"/>
            <w:tcBorders/>
          </w:tcPr>
          <w:p>
            <w:pPr>
              <w:pStyle w:val="Normal"/>
              <w:rPr/>
            </w:pPr>
            <w:r>
              <w:rPr/>
              <w:t>As specified in Annex I or Annex II</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Notional Reset:</w:t>
            </w:r>
          </w:p>
        </w:tc>
        <w:tc>
          <w:tcPr>
            <w:tcW w:w="5310" w:type="dxa"/>
            <w:gridSpan w:val="4"/>
            <w:tcBorders/>
          </w:tcPr>
          <w:p>
            <w:pPr>
              <w:pStyle w:val="Normal"/>
              <w:rPr/>
            </w:pPr>
            <w:r>
              <w:rPr/>
              <w:t>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Equity Payment Dates:</w:t>
            </w:r>
          </w:p>
        </w:tc>
        <w:tc>
          <w:tcPr>
            <w:tcW w:w="5310" w:type="dxa"/>
            <w:gridSpan w:val="4"/>
            <w:tcBorders/>
          </w:tcPr>
          <w:p>
            <w:pPr>
              <w:pStyle w:val="Normal"/>
              <w:rPr/>
            </w:pPr>
            <w:r>
              <w:rPr/>
              <w:t>The third Currency Business Day following each Valuation Date (or if such day is not a Currency Business Day, the next succeeding Currency Business Day).</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Type of Return:</w:t>
            </w:r>
          </w:p>
          <w:p>
            <w:pPr>
              <w:pStyle w:val="Normal"/>
              <w:ind w:start="630" w:end="0"/>
              <w:rPr/>
            </w:pPr>
            <w:r>
              <w:rPr/>
            </w:r>
          </w:p>
          <w:p>
            <w:pPr>
              <w:pStyle w:val="Normal"/>
              <w:ind w:start="630" w:end="0"/>
              <w:rPr/>
            </w:pPr>
            <w:r>
              <w:rPr/>
              <w:t>Initial Price:</w:t>
            </w:r>
          </w:p>
        </w:tc>
        <w:tc>
          <w:tcPr>
            <w:tcW w:w="5310" w:type="dxa"/>
            <w:gridSpan w:val="4"/>
            <w:tcBorders/>
          </w:tcPr>
          <w:p>
            <w:pPr>
              <w:pStyle w:val="Normal"/>
              <w:rPr/>
            </w:pPr>
            <w:r>
              <w:rPr/>
              <w:t>Total Return</w:t>
            </w:r>
          </w:p>
          <w:p>
            <w:pPr>
              <w:pStyle w:val="Normal"/>
              <w:rPr/>
            </w:pPr>
            <w:r>
              <w:rPr/>
            </w:r>
          </w:p>
          <w:p>
            <w:pPr>
              <w:pStyle w:val="Normal"/>
              <w:rPr/>
            </w:pPr>
            <w:r>
              <w:rPr/>
              <w:t>In respect of a Valuation Date, a price for the Basket equal to the sum of the Shares of each Issuer as the product of (i) the Initial Share Price and (ii) the relevant Number of Shares comprised in the Basket.</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Initial Share Price:</w:t>
            </w:r>
          </w:p>
        </w:tc>
        <w:tc>
          <w:tcPr>
            <w:tcW w:w="5310" w:type="dxa"/>
            <w:gridSpan w:val="4"/>
            <w:tcBorders/>
          </w:tcPr>
          <w:p>
            <w:pPr>
              <w:pStyle w:val="Normal"/>
              <w:rPr/>
            </w:pPr>
            <w:r>
              <w:rPr/>
              <w:t>With respect to each Share comprised in the Basket, (i) with respect to the initial Valuation Date, the Initial Share Price as specified in Annex I or Annex II, and (ii) with respect to each subsequent Valuation Date, the Relevant Price from the immediately preceding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Number of Shares:</w:t>
            </w:r>
          </w:p>
        </w:tc>
        <w:tc>
          <w:tcPr>
            <w:tcW w:w="5310" w:type="dxa"/>
            <w:gridSpan w:val="4"/>
            <w:tcBorders/>
          </w:tcPr>
          <w:p>
            <w:pPr>
              <w:pStyle w:val="Normal"/>
              <w:rPr/>
            </w:pPr>
            <w:r>
              <w:rPr/>
              <w:t>For each Share, the number of shares specified for such Share under the heading “Number of Shares comprised in the Basket” in Annex I or Annex II, as adjusted pursuant to the IPA Number of Shares. On each Payment Date, the Calculation Agent shall adjust the Number of Shares for each Share (and Annex I or Annex II shall be deemed to be amended accordingly) to give effect to any Adjustments and/or IPA’s, if any, which occurred during the immediately preceding Calculation Period. Such adjustments to the Number of Shares for any Share shall become effective for the Calculation Period commencing on the Payment Date on which such adjustment has been made.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Adjustment:</w:t>
            </w:r>
          </w:p>
        </w:tc>
        <w:tc>
          <w:tcPr>
            <w:tcW w:w="5310" w:type="dxa"/>
            <w:gridSpan w:val="4"/>
            <w:tcBorders/>
          </w:tcPr>
          <w:p>
            <w:pPr>
              <w:pStyle w:val="Normal"/>
              <w:rPr/>
            </w:pPr>
            <w:r>
              <w:rPr/>
              <w:t>On any Valuation Date an adjustment to the Number of Shares with respect to any Share as of the immediately following Payment Date as shall be mutually agreed to by Party A and the Party B, provided that on any Valuation Date Party B may, after giving written notice to Party A, increase or reduce the Number of Shares with respect to any Share as of the immediately following Payment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rPr/>
            </w:pPr>
            <w:r>
              <w:rPr/>
              <w:t xml:space="preserve">             </w:t>
            </w:r>
            <w:r>
              <w:rPr/>
              <w:t>Relevant Price:</w:t>
            </w:r>
          </w:p>
        </w:tc>
        <w:tc>
          <w:tcPr>
            <w:tcW w:w="5310" w:type="dxa"/>
            <w:gridSpan w:val="4"/>
            <w:tcBorders/>
          </w:tcPr>
          <w:p>
            <w:pPr>
              <w:pStyle w:val="Normal"/>
              <w:rPr/>
            </w:pPr>
            <w:r>
              <w:rPr/>
              <w:t>The official closing price per Share quoted by each Exchange at the Valuation Time on the relevant Valuation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Final Price:</w:t>
            </w:r>
          </w:p>
        </w:tc>
        <w:tc>
          <w:tcPr>
            <w:tcW w:w="5310" w:type="dxa"/>
            <w:gridSpan w:val="4"/>
            <w:tcBorders/>
          </w:tcPr>
          <w:p>
            <w:pPr>
              <w:pStyle w:val="Normal"/>
              <w:rPr/>
            </w:pPr>
            <w:r>
              <w:rPr/>
              <w:t>The aggregate of the closing prices per Basket Component Share with the exception of the final Equity Amount where the Final Price shall be equal to the Hedge Price.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Hedge Price:</w:t>
            </w:r>
          </w:p>
        </w:tc>
        <w:tc>
          <w:tcPr>
            <w:tcW w:w="5310" w:type="dxa"/>
            <w:gridSpan w:val="4"/>
            <w:tcBorders/>
          </w:tcPr>
          <w:p>
            <w:pPr>
              <w:pStyle w:val="Normal"/>
              <w:rPr/>
            </w:pPr>
            <w:r>
              <w:rPr/>
              <w:t xml:space="preserve">The weighted average price at which Party B buys or sells the Basket Component Shares in connection with the Transaction </w:t>
            </w:r>
            <w:r>
              <w:rPr>
                <w:color w:val="000000"/>
              </w:rPr>
              <w:t>which price includes brokerage commission fees.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Basket Component Share(s):</w:t>
            </w:r>
          </w:p>
        </w:tc>
        <w:tc>
          <w:tcPr>
            <w:tcW w:w="5310" w:type="dxa"/>
            <w:gridSpan w:val="4"/>
            <w:tcBorders/>
          </w:tcPr>
          <w:p>
            <w:pPr>
              <w:pStyle w:val="Normal"/>
              <w:rPr/>
            </w:pPr>
            <w:r>
              <w:rPr/>
              <w:t>The shares comprising the Basket in Annex I or Annex II, as adjusted from time to time.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Time:</w:t>
            </w:r>
          </w:p>
        </w:tc>
        <w:tc>
          <w:tcPr>
            <w:tcW w:w="5310" w:type="dxa"/>
            <w:gridSpan w:val="4"/>
            <w:tcBorders/>
          </w:tcPr>
          <w:p>
            <w:pPr>
              <w:pStyle w:val="Normal"/>
              <w:rPr/>
            </w:pPr>
            <w:r>
              <w:rPr/>
              <w:t>The close of trading on each relevant Exchange.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Valuation Dates:</w:t>
            </w:r>
          </w:p>
        </w:tc>
        <w:tc>
          <w:tcPr>
            <w:tcW w:w="5310" w:type="dxa"/>
            <w:gridSpan w:val="4"/>
            <w:tcBorders/>
          </w:tcPr>
          <w:p>
            <w:pPr>
              <w:pStyle w:val="Normal"/>
              <w:rPr/>
            </w:pPr>
            <w:r>
              <w:rPr/>
              <w:t>February 17, 2001 and thereafter on the 17</w:t>
            </w:r>
            <w:r>
              <w:rPr>
                <w:vertAlign w:val="superscript"/>
              </w:rPr>
              <w:t>th</w:t>
            </w:r>
            <w:r>
              <w:rPr/>
              <w:t xml:space="preserve"> of each month during the Term of the Transaction through and including the Termination Date.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Payment Dates:</w:t>
            </w:r>
          </w:p>
        </w:tc>
        <w:tc>
          <w:tcPr>
            <w:tcW w:w="5310" w:type="dxa"/>
            <w:gridSpan w:val="4"/>
            <w:tcBorders/>
          </w:tcPr>
          <w:p>
            <w:pPr>
              <w:pStyle w:val="Normal"/>
              <w:rPr/>
            </w:pPr>
            <w:r>
              <w:rPr/>
              <w:t>The Equity Payment Date relating to the Valuation Date on which the relevant Dividend Period ends.</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Dividend Amount</w:t>
            </w:r>
          </w:p>
        </w:tc>
        <w:tc>
          <w:tcPr>
            <w:tcW w:w="5310" w:type="dxa"/>
            <w:gridSpan w:val="4"/>
            <w:tcBorders/>
          </w:tcPr>
          <w:p>
            <w:pPr>
              <w:pStyle w:val="Normal"/>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ind w:start="630" w:end="0"/>
              <w:rPr/>
            </w:pPr>
            <w:r>
              <w:rPr/>
              <w:t>Reinvestment of Dividends:</w:t>
            </w:r>
          </w:p>
        </w:tc>
        <w:tc>
          <w:tcPr>
            <w:tcW w:w="5310" w:type="dxa"/>
            <w:gridSpan w:val="4"/>
            <w:tcBorders/>
          </w:tcPr>
          <w:p>
            <w:pPr>
              <w:pStyle w:val="Normal"/>
              <w:rPr/>
            </w:pPr>
            <w:r>
              <w:rPr/>
              <w:t>Inapplicable</w:t>
            </w:r>
          </w:p>
        </w:tc>
        <w:tc>
          <w:tcPr>
            <w:tcW w:w="900" w:type="dxa"/>
            <w:gridSpan w:val="2"/>
            <w:tcBorders/>
            <w:tcMar>
              <w:start w:w="0" w:type="dxa"/>
              <w:end w:w="0" w:type="dxa"/>
            </w:tcMar>
          </w:tcPr>
          <w:p>
            <w:pPr>
              <w:pStyle w:val="Normal"/>
              <w:snapToGrid w:val="false"/>
              <w:rPr/>
            </w:pPr>
            <w:r>
              <w:rPr/>
            </w:r>
          </w:p>
        </w:tc>
      </w:tr>
      <w:tr>
        <w:trPr/>
        <w:tc>
          <w:tcPr>
            <w:tcW w:w="3888" w:type="dxa"/>
            <w:tcBorders/>
          </w:tcPr>
          <w:p>
            <w:pPr>
              <w:pStyle w:val="Normal"/>
              <w:snapToGrid w:val="false"/>
              <w:ind w:start="630" w:end="0"/>
              <w:rPr/>
            </w:pPr>
            <w:r>
              <w:rPr/>
            </w:r>
          </w:p>
        </w:tc>
        <w:tc>
          <w:tcPr>
            <w:tcW w:w="5310" w:type="dxa"/>
            <w:gridSpan w:val="4"/>
            <w:tcBorders/>
          </w:tcPr>
          <w:p>
            <w:pPr>
              <w:pStyle w:val="Normal"/>
              <w:snapToGrid w:val="false"/>
              <w:rPr/>
            </w:pPr>
            <w:r>
              <w:rPr/>
            </w:r>
          </w:p>
        </w:tc>
        <w:tc>
          <w:tcPr>
            <w:tcW w:w="900" w:type="dxa"/>
            <w:gridSpan w:val="2"/>
            <w:tcBorders/>
            <w:tcMar>
              <w:start w:w="0" w:type="dxa"/>
              <w:end w:w="0" w:type="dxa"/>
            </w:tcMar>
          </w:tcPr>
          <w:p>
            <w:pPr>
              <w:pStyle w:val="Normal"/>
              <w:snapToGrid w:val="false"/>
              <w:rPr/>
            </w:pPr>
            <w:r>
              <w:rPr/>
            </w:r>
          </w:p>
        </w:tc>
      </w:tr>
      <w:tr>
        <w:trPr/>
        <w:tc>
          <w:tcPr>
            <w:tcW w:w="4788" w:type="dxa"/>
            <w:gridSpan w:val="4"/>
            <w:tcBorders/>
          </w:tcPr>
          <w:p>
            <w:pPr>
              <w:pStyle w:val="Normal"/>
              <w:rPr/>
            </w:pPr>
            <w:r>
              <w:rPr/>
              <w:t>Floating Amounts Payable by Floating Amount Payer:</w:t>
            </w:r>
          </w:p>
        </w:tc>
        <w:tc>
          <w:tcPr>
            <w:tcW w:w="5310" w:type="dxa"/>
            <w:gridSpan w:val="3"/>
            <w:tcBorders/>
          </w:tcPr>
          <w:p>
            <w:pPr>
              <w:pStyle w:val="Normal"/>
              <w:snapToGrid w:val="false"/>
              <w:rPr/>
            </w:pPr>
            <w:r>
              <w:rPr/>
            </w:r>
          </w:p>
        </w:tc>
      </w:tr>
      <w:tr>
        <w:trPr/>
        <w:tc>
          <w:tcPr>
            <w:tcW w:w="4788" w:type="dxa"/>
            <w:gridSpan w:val="4"/>
            <w:tcBorders/>
          </w:tcPr>
          <w:p>
            <w:pPr>
              <w:pStyle w:val="Normal"/>
              <w:snapToGrid w:val="false"/>
              <w:rPr/>
            </w:pPr>
            <w:r>
              <w:rPr/>
            </w:r>
          </w:p>
        </w:tc>
        <w:tc>
          <w:tcPr>
            <w:tcW w:w="5310" w:type="dxa"/>
            <w:gridSpan w:val="3"/>
            <w:tcBorders/>
          </w:tcPr>
          <w:p>
            <w:pPr>
              <w:pStyle w:val="Normal"/>
              <w:snapToGrid w:val="false"/>
              <w:rPr/>
            </w:pPr>
            <w:r>
              <w:rPr/>
            </w:r>
          </w:p>
        </w:tc>
      </w:tr>
      <w:tr>
        <w:trPr/>
        <w:tc>
          <w:tcPr>
            <w:tcW w:w="3978" w:type="dxa"/>
            <w:gridSpan w:val="2"/>
            <w:tcBorders/>
          </w:tcPr>
          <w:p>
            <w:pPr>
              <w:pStyle w:val="Normal"/>
              <w:ind w:start="720" w:end="0"/>
              <w:rPr/>
            </w:pPr>
            <w:r>
              <w:rPr/>
              <w:t>Floating Amount Payer:</w:t>
            </w:r>
          </w:p>
        </w:tc>
        <w:tc>
          <w:tcPr>
            <w:tcW w:w="5310" w:type="dxa"/>
            <w:gridSpan w:val="4"/>
            <w:tcBorders/>
          </w:tcPr>
          <w:p>
            <w:pPr>
              <w:pStyle w:val="Normal"/>
              <w:rPr/>
            </w:pPr>
            <w:r>
              <w:rPr/>
              <w:t>Party 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Notional Amount:</w:t>
            </w:r>
          </w:p>
        </w:tc>
        <w:tc>
          <w:tcPr>
            <w:tcW w:w="5310" w:type="dxa"/>
            <w:gridSpan w:val="4"/>
            <w:tcBorders/>
          </w:tcPr>
          <w:p>
            <w:pPr>
              <w:pStyle w:val="Normal"/>
              <w:rPr/>
            </w:pPr>
            <w:r>
              <w:rPr/>
              <w:t>The Equity Notional Amount (adjusted in accordance with Section 7.11(c) of the Equity Definitions)</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Payment Dates:</w:t>
            </w:r>
          </w:p>
        </w:tc>
        <w:tc>
          <w:tcPr>
            <w:tcW w:w="5310" w:type="dxa"/>
            <w:gridSpan w:val="4"/>
            <w:tcBorders/>
          </w:tcPr>
          <w:p>
            <w:pPr>
              <w:pStyle w:val="Normal"/>
              <w:rPr/>
            </w:pPr>
            <w:r>
              <w:rPr/>
              <w:t>Each Equity Payment Date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Option:</w:t>
            </w:r>
          </w:p>
        </w:tc>
        <w:tc>
          <w:tcPr>
            <w:tcW w:w="5310" w:type="dxa"/>
            <w:gridSpan w:val="4"/>
            <w:tcBorders/>
          </w:tcPr>
          <w:p>
            <w:pPr>
              <w:pStyle w:val="Normal"/>
              <w:rPr/>
            </w:pPr>
            <w:r>
              <w:rPr/>
              <w:t>USD-LIBOR-BBA</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Designated Maturity:</w:t>
            </w:r>
          </w:p>
        </w:tc>
        <w:tc>
          <w:tcPr>
            <w:tcW w:w="5310" w:type="dxa"/>
            <w:gridSpan w:val="4"/>
            <w:tcBorders/>
          </w:tcPr>
          <w:p>
            <w:pPr>
              <w:pStyle w:val="Normal"/>
              <w:rPr/>
            </w:pPr>
            <w:r>
              <w:rPr/>
              <w:t>1 month</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Spread:</w:t>
            </w:r>
          </w:p>
        </w:tc>
        <w:tc>
          <w:tcPr>
            <w:tcW w:w="5310" w:type="dxa"/>
            <w:gridSpan w:val="4"/>
            <w:tcBorders/>
          </w:tcPr>
          <w:p>
            <w:pPr>
              <w:pStyle w:val="Normal"/>
              <w:rPr/>
            </w:pPr>
            <w:r>
              <w:rPr/>
              <w:t>Plus 100 basis points</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Floating Rate Day Count Fraction:</w:t>
            </w:r>
          </w:p>
        </w:tc>
        <w:tc>
          <w:tcPr>
            <w:tcW w:w="5310" w:type="dxa"/>
            <w:gridSpan w:val="4"/>
            <w:tcBorders/>
          </w:tcPr>
          <w:p>
            <w:pPr>
              <w:pStyle w:val="Normal"/>
              <w:rPr/>
            </w:pPr>
            <w:r>
              <w:rPr/>
              <w:t>Actual/360</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Initial Floating Rate (excluding spread):</w:t>
            </w:r>
          </w:p>
        </w:tc>
        <w:tc>
          <w:tcPr>
            <w:tcW w:w="5310" w:type="dxa"/>
            <w:gridSpan w:val="4"/>
            <w:tcBorders/>
          </w:tcPr>
          <w:p>
            <w:pPr>
              <w:pStyle w:val="Normal"/>
              <w:snapToGrid w:val="false"/>
              <w:rPr/>
            </w:pPr>
            <w:r>
              <w:rPr/>
            </w:r>
          </w:p>
          <w:p>
            <w:pPr>
              <w:pStyle w:val="Normal"/>
              <w:rPr/>
            </w:pPr>
            <w:r>
              <w:rPr/>
              <w:t>5.83625 percent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Reset Dates:</w:t>
            </w:r>
          </w:p>
        </w:tc>
        <w:tc>
          <w:tcPr>
            <w:tcW w:w="5310" w:type="dxa"/>
            <w:gridSpan w:val="4"/>
            <w:tcBorders/>
          </w:tcPr>
          <w:p>
            <w:pPr>
              <w:pStyle w:val="Normal"/>
              <w:rPr/>
            </w:pPr>
            <w:r>
              <w:rPr/>
              <w:t>The first day of each Calculation Period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Adjustments: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Method of Adjustment:</w:t>
            </w:r>
          </w:p>
        </w:tc>
        <w:tc>
          <w:tcPr>
            <w:tcW w:w="5310" w:type="dxa"/>
            <w:gridSpan w:val="4"/>
            <w:tcBorders/>
          </w:tcPr>
          <w:p>
            <w:pPr>
              <w:pStyle w:val="Normal"/>
              <w:rPr/>
            </w:pPr>
            <w:r>
              <w:rPr/>
              <w:t>Calculation Agent Adjustment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rPr/>
            </w:pPr>
            <w:r>
              <w:rPr/>
              <w:t>Extraordinary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Consequence of Merger Events:</w:t>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(a) Share-for-Share:</w:t>
            </w:r>
          </w:p>
        </w:tc>
        <w:tc>
          <w:tcPr>
            <w:tcW w:w="5310" w:type="dxa"/>
            <w:gridSpan w:val="4"/>
            <w:tcBorders/>
          </w:tcPr>
          <w:p>
            <w:pPr>
              <w:pStyle w:val="Normal"/>
              <w:rPr/>
            </w:pPr>
            <w:r>
              <w:rPr/>
              <w:t>Alternative Obligation</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(b) Share-for-Other:</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(c) Share-for-Combined:</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ind w:start="720" w:end="0"/>
              <w:rPr/>
            </w:pPr>
            <w:r>
              <w:rPr/>
              <w:t>Nationalization or Insolvency:</w:t>
            </w:r>
          </w:p>
        </w:tc>
        <w:tc>
          <w:tcPr>
            <w:tcW w:w="5310" w:type="dxa"/>
            <w:gridSpan w:val="4"/>
            <w:tcBorders/>
          </w:tcPr>
          <w:p>
            <w:pPr>
              <w:pStyle w:val="Normal"/>
              <w:rPr/>
            </w:pPr>
            <w:r>
              <w:rPr/>
              <w:t>Cancellation and Payment</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4248" w:type="dxa"/>
            <w:gridSpan w:val="3"/>
            <w:tcBorders/>
          </w:tcPr>
          <w:p>
            <w:pPr>
              <w:pStyle w:val="Normal"/>
              <w:tabs>
                <w:tab w:val="clear" w:pos="720"/>
                <w:tab w:val="left" w:pos="810" w:leader="none"/>
              </w:tabs>
              <w:ind w:start="90" w:end="0"/>
              <w:rPr/>
            </w:pPr>
            <w:r>
              <w:rPr/>
              <w:t>3.   Account Details and Settlement Information:</w:t>
            </w:r>
          </w:p>
        </w:tc>
        <w:tc>
          <w:tcPr>
            <w:tcW w:w="5040" w:type="dxa"/>
            <w:gridSpan w:val="3"/>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810" w:leader="none"/>
              </w:tabs>
              <w:snapToGrid w:val="false"/>
              <w:ind w:start="9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A:</w:t>
            </w:r>
          </w:p>
        </w:tc>
        <w:tc>
          <w:tcPr>
            <w:tcW w:w="5310" w:type="dxa"/>
            <w:gridSpan w:val="4"/>
            <w:tcBorders/>
          </w:tcPr>
          <w:p>
            <w:pPr>
              <w:pStyle w:val="Normal"/>
              <w:rPr/>
            </w:pPr>
            <w:r>
              <w:rPr/>
              <w:t>To be advised</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ind w:start="720" w:end="0"/>
              <w:rPr/>
            </w:pPr>
            <w:r>
              <w:rPr/>
              <w:t>Payments to Party B:</w:t>
            </w:r>
          </w:p>
        </w:tc>
        <w:tc>
          <w:tcPr>
            <w:tcW w:w="5310" w:type="dxa"/>
            <w:gridSpan w:val="4"/>
            <w:tcBorders/>
          </w:tcPr>
          <w:p>
            <w:pPr>
              <w:pStyle w:val="Normal"/>
              <w:rPr/>
            </w:pPr>
            <w:r>
              <w:rPr/>
              <w:t>Please advise</w:t>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left" w:pos="720" w:leader="none"/>
              </w:tabs>
              <w:snapToGrid w:val="false"/>
              <w:ind w:start="720" w:end="0"/>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r>
        <w:trPr/>
        <w:tc>
          <w:tcPr>
            <w:tcW w:w="3978" w:type="dxa"/>
            <w:gridSpan w:val="2"/>
            <w:tcBorders/>
          </w:tcPr>
          <w:p>
            <w:pPr>
              <w:pStyle w:val="Normal"/>
              <w:tabs>
                <w:tab w:val="clear" w:pos="720"/>
                <w:tab w:val="left" w:pos="0" w:leader="none"/>
              </w:tabs>
              <w:snapToGrid w:val="false"/>
              <w:rPr/>
            </w:pPr>
            <w:r>
              <w:rPr/>
            </w:r>
          </w:p>
        </w:tc>
        <w:tc>
          <w:tcPr>
            <w:tcW w:w="5310" w:type="dxa"/>
            <w:gridSpan w:val="4"/>
            <w:tcBorders/>
          </w:tcPr>
          <w:p>
            <w:pPr>
              <w:pStyle w:val="Normal"/>
              <w:snapToGrid w:val="false"/>
              <w:rPr/>
            </w:pPr>
            <w:r>
              <w:rPr/>
            </w:r>
          </w:p>
        </w:tc>
        <w:tc>
          <w:tcPr>
            <w:tcW w:w="810" w:type="dxa"/>
            <w:tcBorders/>
            <w:tcMar>
              <w:start w:w="0" w:type="dxa"/>
              <w:end w:w="0" w:type="dxa"/>
            </w:tcMar>
          </w:tcPr>
          <w:p>
            <w:pPr>
              <w:pStyle w:val="Normal"/>
              <w:snapToGrid w:val="false"/>
              <w:rPr/>
            </w:pPr>
            <w:r>
              <w:rPr/>
            </w:r>
          </w:p>
        </w:tc>
      </w:tr>
    </w:tbl>
    <w:p>
      <w:pPr>
        <w:pStyle w:val="Normal"/>
        <w:numPr>
          <w:ilvl w:val="0"/>
          <w:numId w:val="4"/>
        </w:numPr>
        <w:jc w:val="both"/>
        <w:rPr/>
      </w:pPr>
      <w:r>
        <w:rPr/>
        <w:t>Other provisions:</w:t>
      </w:r>
    </w:p>
    <w:p>
      <w:pPr>
        <w:pStyle w:val="Normal"/>
        <w:jc w:val="both"/>
        <w:rPr/>
      </w:pPr>
      <w:r>
        <w:rPr/>
      </w:r>
    </w:p>
    <w:p>
      <w:pPr>
        <w:pStyle w:val="Normal"/>
        <w:numPr>
          <w:ilvl w:val="0"/>
          <w:numId w:val="3"/>
        </w:numPr>
        <w:jc w:val="both"/>
        <w:rPr/>
      </w:pPr>
      <w:r>
        <w:rPr>
          <w:u w:val="single"/>
        </w:rPr>
        <w:t xml:space="preserve">No Reliance: </w:t>
      </w:r>
      <w:r>
        <w:rPr/>
        <w:t>Each party represents that (i) it is entering into the Transaction evidenced hereby as principal (and not as agent or in any other capacity); (ii) the other party is not acting as a fiduciary for it; (iii) it is not relying upon any representations except those expressly set forth in the Agreement of this Confirmation; (iv) it has consulted with its own legal, regulatory, tax, business, investment, financial, and accounting advisers to the extent it has deemed necessary, and it has made its own investment, hedging, and trading decisions based upon its own judgement and upon any advise from such advisers as it is deemed necessary and not upon any view expressed by the other party; and (v) it is entering into this Transaction with a full understanding of the terms, conditions and risks thereof and it is capable of and willing to assume those risks.</w:t>
      </w:r>
    </w:p>
    <w:p>
      <w:pPr>
        <w:pStyle w:val="Normal"/>
        <w:jc w:val="both"/>
        <w:rPr>
          <w:u w:val="single"/>
        </w:rPr>
      </w:pPr>
      <w:r>
        <w:rPr>
          <w:u w:val="single"/>
        </w:rPr>
      </w:r>
    </w:p>
    <w:p>
      <w:pPr>
        <w:pStyle w:val="Normal"/>
        <w:numPr>
          <w:ilvl w:val="0"/>
          <w:numId w:val="3"/>
        </w:numPr>
        <w:jc w:val="both"/>
        <w:rPr/>
      </w:pPr>
      <w:r>
        <w:rPr>
          <w:u w:val="single"/>
        </w:rPr>
        <w:t xml:space="preserve">Intra-Period Adjustments (“IPA”): </w:t>
      </w:r>
      <w:r>
        <w:rPr/>
        <w:t>On the first Payment Date immediately following the last day of the Calculation Period in which and IPA shall have occurred, Party B shall pay Party A, if positive, or receive from Party A the absolute value of, if negative, an amount in US Dollars (“USD”) equal to the IPA Price Payment plus the IPA Dividend Payment minus the IPA Floating Rate Payment, as follows:</w:t>
      </w:r>
    </w:p>
    <w:p>
      <w:pPr>
        <w:pStyle w:val="Normal"/>
        <w:jc w:val="both"/>
        <w:rPr/>
      </w:pPr>
      <w:r>
        <w:rPr/>
      </w:r>
    </w:p>
    <w:p>
      <w:pPr>
        <w:pStyle w:val="Normal"/>
        <w:numPr>
          <w:ilvl w:val="0"/>
          <w:numId w:val="6"/>
        </w:numPr>
        <w:jc w:val="both"/>
        <w:rPr/>
      </w:pPr>
      <w:r>
        <w:rPr/>
        <w:t>IPA Price Payment: With respect to the IPA Shares, as identified in Annex II (the “IPA Shares”, each an “IPA Share”) the amount determined as follows:</w:t>
      </w:r>
    </w:p>
    <w:p>
      <w:pPr>
        <w:pStyle w:val="Normal"/>
        <w:ind w:start="1080" w:end="0"/>
        <w:jc w:val="both"/>
        <w:rPr/>
      </w:pPr>
      <w:r>
        <w:rPr/>
      </w:r>
    </w:p>
    <w:p>
      <w:pPr>
        <w:pStyle w:val="Normal"/>
        <w:ind w:start="1440" w:end="0"/>
        <w:jc w:val="both"/>
        <w:rPr/>
      </w:pPr>
      <w:r>
        <w:rPr/>
        <w:t>IPA Number of Shares*[Relevant Price- (IPA Price)]</w:t>
      </w:r>
    </w:p>
    <w:p>
      <w:pPr>
        <w:pStyle w:val="Normal"/>
        <w:ind w:start="1440" w:end="0"/>
        <w:jc w:val="both"/>
        <w:rPr/>
      </w:pPr>
      <w:r>
        <w:rPr/>
      </w:r>
    </w:p>
    <w:p>
      <w:pPr>
        <w:pStyle w:val="Normal"/>
        <w:ind w:hanging="2160" w:start="2880" w:end="0"/>
        <w:jc w:val="both"/>
        <w:rPr/>
      </w:pPr>
      <w:r>
        <w:rPr/>
        <w:t>IPA Number of Shares:</w:t>
        <w:tab/>
        <w:t>For each IPA, the number of shares specified for such IPA under the heading “IPA Number of Shares” in Annex II, which shall equal the number of IPA Shares which Party A and Party B mutually agree to add or subtract from the Number of Shares for such IPA Shares, with additions expressed as positive integers and subtractions expressed as negative integers.</w:t>
      </w:r>
    </w:p>
    <w:p>
      <w:pPr>
        <w:pStyle w:val="Normal"/>
        <w:jc w:val="both"/>
        <w:rPr/>
      </w:pPr>
      <w:r>
        <w:rPr/>
      </w:r>
    </w:p>
    <w:p>
      <w:pPr>
        <w:pStyle w:val="Normal"/>
        <w:ind w:hanging="2160" w:start="2880" w:end="0"/>
        <w:jc w:val="both"/>
        <w:rPr/>
      </w:pPr>
      <w:r>
        <w:rPr/>
        <w:t>IPA Price:</w:t>
        <w:tab/>
        <w:t>For each IPA, the USD price specified for such IPA under the heading “IPA Price” in the applicable Annex II (which price shall have been mutually agreed by Party A and Party B).</w:t>
      </w:r>
    </w:p>
    <w:p>
      <w:pPr>
        <w:pStyle w:val="Normal"/>
        <w:ind w:hanging="2160" w:start="2880" w:end="0"/>
        <w:jc w:val="both"/>
        <w:rPr/>
      </w:pPr>
      <w:r>
        <w:rPr/>
      </w:r>
    </w:p>
    <w:p>
      <w:pPr>
        <w:pStyle w:val="Normal"/>
        <w:ind w:hanging="2160" w:start="2880" w:end="0"/>
        <w:jc w:val="both"/>
        <w:rPr/>
      </w:pPr>
      <w:r>
        <w:rPr/>
        <w:t>IPA:</w:t>
        <w:tab/>
        <w:t>A mutual agreement between Party A and Party B on any day except a Valuation Date to adjust, on the Payment Date immediately following the last day of the Calculation Period in which such agreement shall have occurred, the Number of Shares with respect to a particular Share.</w:t>
      </w:r>
    </w:p>
    <w:p>
      <w:pPr>
        <w:pStyle w:val="Normal"/>
        <w:ind w:hanging="2160" w:start="2880" w:end="0"/>
        <w:jc w:val="both"/>
        <w:rPr/>
      </w:pPr>
      <w:r>
        <w:rPr/>
      </w:r>
    </w:p>
    <w:p>
      <w:pPr>
        <w:pStyle w:val="Normal"/>
        <w:numPr>
          <w:ilvl w:val="0"/>
          <w:numId w:val="6"/>
        </w:numPr>
        <w:jc w:val="both"/>
        <w:rPr/>
      </w:pPr>
      <w:r>
        <w:rPr/>
        <w:t xml:space="preserve">IPA Dividend Payment: If an IPA Share has gone ex-dividend with respect to a cash dividend during the applicable Calculation Period, the amount of such cash dividend with respect the one unit of such IPA Share multiplied by the IPA Number of Shares, as calculated and announced by the Issuer. </w:t>
      </w:r>
    </w:p>
    <w:p>
      <w:pPr>
        <w:pStyle w:val="Normal"/>
        <w:ind w:start="720" w:end="0"/>
        <w:jc w:val="both"/>
        <w:rPr/>
      </w:pPr>
      <w:r>
        <w:rPr/>
      </w:r>
    </w:p>
    <w:p>
      <w:pPr>
        <w:pStyle w:val="Normal"/>
        <w:numPr>
          <w:ilvl w:val="0"/>
          <w:numId w:val="6"/>
        </w:numPr>
        <w:jc w:val="both"/>
        <w:rPr/>
      </w:pPr>
      <w:r>
        <w:rPr/>
        <w:t>IPA Floating Rate Payment: With respect to the IPA Shares, the Floating Amount in USD  determined in accordance with Article 6 of the Swap Definitions as follows:</w:t>
      </w:r>
    </w:p>
    <w:p>
      <w:pPr>
        <w:pStyle w:val="Normal"/>
        <w:jc w:val="both"/>
        <w:rPr/>
      </w:pPr>
      <w:r>
        <w:rPr/>
      </w:r>
    </w:p>
    <w:p>
      <w:pPr>
        <w:pStyle w:val="Normal"/>
        <w:numPr>
          <w:ilvl w:val="0"/>
          <w:numId w:val="2"/>
        </w:numPr>
        <w:jc w:val="both"/>
        <w:rPr/>
      </w:pPr>
      <w:r>
        <w:rPr/>
        <w:t>Calculation Amount: The IPA Number of Shares multiplied by the IPA Modified Price.</w:t>
      </w:r>
    </w:p>
    <w:p>
      <w:pPr>
        <w:pStyle w:val="Normal"/>
        <w:ind w:start="1080" w:end="0"/>
        <w:jc w:val="both"/>
        <w:rPr/>
      </w:pPr>
      <w:r>
        <w:rPr/>
      </w:r>
    </w:p>
    <w:p>
      <w:pPr>
        <w:pStyle w:val="Normal"/>
        <w:ind w:hanging="1800" w:start="2880" w:end="0"/>
        <w:jc w:val="both"/>
        <w:rPr/>
      </w:pPr>
      <w:r>
        <w:rPr/>
        <w:t>IPA Modified Price:</w:t>
        <w:tab/>
        <w:t>For each IPA, the price specified for such IPA under the heading “IPA Modified Price” in Annex II, which shall equal (i) if the IPA Number of Shares is positive, the IPA Price for such IPA, or (ii) if the IPA Number of Shares is negative, the Initial Share Price for the IPA Share with respect to such IPA.</w:t>
      </w:r>
    </w:p>
    <w:p>
      <w:pPr>
        <w:pStyle w:val="Normal"/>
        <w:ind w:start="720" w:end="0"/>
        <w:jc w:val="both"/>
        <w:rPr/>
      </w:pPr>
      <w:r>
        <w:rPr/>
      </w:r>
    </w:p>
    <w:p>
      <w:pPr>
        <w:pStyle w:val="Normal"/>
        <w:numPr>
          <w:ilvl w:val="0"/>
          <w:numId w:val="2"/>
        </w:numPr>
        <w:jc w:val="both"/>
        <w:rPr/>
      </w:pPr>
      <w:r>
        <w:rPr/>
        <w:t>Floating Rate: USD-LIBOR-BBA</w:t>
      </w:r>
    </w:p>
    <w:p>
      <w:pPr>
        <w:pStyle w:val="Normal"/>
        <w:jc w:val="both"/>
        <w:rPr/>
      </w:pPr>
      <w:r>
        <w:rPr/>
      </w:r>
    </w:p>
    <w:p>
      <w:pPr>
        <w:pStyle w:val="Normal"/>
        <w:numPr>
          <w:ilvl w:val="0"/>
          <w:numId w:val="2"/>
        </w:numPr>
        <w:jc w:val="both"/>
        <w:rPr/>
      </w:pPr>
      <w:r>
        <w:rPr/>
        <w:t>Designated Maturity: One Month;</w:t>
      </w:r>
    </w:p>
    <w:p>
      <w:pPr>
        <w:pStyle w:val="Normal"/>
        <w:jc w:val="both"/>
        <w:rPr/>
      </w:pPr>
      <w:r>
        <w:rPr/>
      </w:r>
    </w:p>
    <w:p>
      <w:pPr>
        <w:pStyle w:val="Normal"/>
        <w:numPr>
          <w:ilvl w:val="0"/>
          <w:numId w:val="2"/>
        </w:numPr>
        <w:jc w:val="both"/>
        <w:rPr/>
      </w:pPr>
      <w:r>
        <w:rPr/>
        <w:t>Spread: plus 100 basis points</w:t>
      </w:r>
    </w:p>
    <w:p>
      <w:pPr>
        <w:pStyle w:val="Normal"/>
        <w:jc w:val="both"/>
        <w:rPr/>
      </w:pPr>
      <w:r>
        <w:rPr/>
      </w:r>
    </w:p>
    <w:p>
      <w:pPr>
        <w:pStyle w:val="Normal"/>
        <w:numPr>
          <w:ilvl w:val="0"/>
          <w:numId w:val="2"/>
        </w:numPr>
        <w:jc w:val="both"/>
        <w:rPr/>
      </w:pPr>
      <w:r>
        <w:rPr/>
        <w:t>Floating Rate Day Count Fraction: Actual/360, where “Actual” means the actual number of days from, and including, the IPA Effective Date to, but excluding, the first Payment Date immediately following the election of an IPA;</w:t>
      </w:r>
    </w:p>
    <w:p>
      <w:pPr>
        <w:pStyle w:val="Normal"/>
        <w:jc w:val="both"/>
        <w:rPr/>
      </w:pPr>
      <w:r>
        <w:rPr/>
      </w:r>
    </w:p>
    <w:p>
      <w:pPr>
        <w:pStyle w:val="Normal"/>
        <w:numPr>
          <w:ilvl w:val="0"/>
          <w:numId w:val="2"/>
        </w:numPr>
        <w:jc w:val="both"/>
        <w:rPr/>
      </w:pPr>
      <w:r>
        <w:rPr/>
        <w:t>Reset Date: The first day of the Calculation Period in which the IPA occurs.</w:t>
      </w:r>
    </w:p>
    <w:p>
      <w:pPr>
        <w:pStyle w:val="Normal"/>
        <w:jc w:val="both"/>
        <w:rPr/>
      </w:pPr>
      <w:r>
        <w:rPr/>
      </w:r>
    </w:p>
    <w:p>
      <w:pPr>
        <w:pStyle w:val="Normal"/>
        <w:numPr>
          <w:ilvl w:val="0"/>
          <w:numId w:val="2"/>
        </w:numPr>
        <w:jc w:val="both"/>
        <w:rPr/>
      </w:pPr>
      <w:r>
        <w:rPr/>
        <w:t>Effective Date: IPA Effective Date.</w:t>
      </w:r>
    </w:p>
    <w:p>
      <w:pPr>
        <w:pStyle w:val="Normal"/>
        <w:jc w:val="both"/>
        <w:rPr/>
      </w:pPr>
      <w:r>
        <w:rPr/>
      </w:r>
    </w:p>
    <w:p>
      <w:pPr>
        <w:pStyle w:val="Normal"/>
        <w:numPr>
          <w:ilvl w:val="0"/>
          <w:numId w:val="2"/>
        </w:numPr>
        <w:jc w:val="both"/>
        <w:rPr/>
      </w:pPr>
      <w:r>
        <w:rPr/>
        <w:t>IPA Effective Date: For each IPA, the date specified in the applicable Annex II, which date shall be (3) three  Business Days after the day on which such IPA occurs.</w:t>
      </w:r>
    </w:p>
    <w:p>
      <w:pPr>
        <w:pStyle w:val="Normal"/>
        <w:jc w:val="both"/>
        <w:rPr/>
      </w:pPr>
      <w:r>
        <w:rPr/>
      </w:r>
    </w:p>
    <w:p>
      <w:pPr>
        <w:pStyle w:val="Normal"/>
        <w:jc w:val="both"/>
        <w:rPr/>
      </w:pPr>
      <w:r>
        <w:rPr/>
        <w:t>4.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pPr>
      <w:r>
        <w:rPr/>
      </w:r>
    </w:p>
    <w:p>
      <w:pPr>
        <w:pStyle w:val="Normal"/>
        <w:jc w:val="both"/>
        <w:rPr/>
      </w:pPr>
      <w:r>
        <w:rPr/>
        <w:t>Party B identifies this Transaction as a hedging transaction for federal income tax purposes.  Party B hereby identifies the Equity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jc w:val="both"/>
        <w:rPr/>
      </w:pPr>
      <w:r>
        <w:rPr/>
      </w:r>
    </w:p>
    <w:p>
      <w:pPr>
        <w:pStyle w:val="Normal"/>
        <w:jc w:val="both"/>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t>Risk Management &amp; Trading Corp. is pleased to have entered into this Transaction with you.</w:t>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Risk Management &amp; Trading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end"/>
        <w:rPr/>
      </w:pPr>
      <w:r>
        <w:rPr/>
        <w:t>Date: January 29, 2001</w:t>
      </w:r>
    </w:p>
    <w:p>
      <w:pPr>
        <w:pStyle w:val="Normal"/>
        <w:jc w:val="end"/>
        <w:rPr/>
      </w:pPr>
      <w:r>
        <w:rPr/>
      </w:r>
    </w:p>
    <w:p>
      <w:pPr>
        <w:pStyle w:val="Normal"/>
        <w:jc w:val="both"/>
        <w:rPr>
          <w:u w:val="single"/>
        </w:rPr>
      </w:pPr>
      <w:r>
        <w:rPr>
          <w:u w:val="single"/>
        </w:rPr>
      </w:r>
    </w:p>
    <w:p>
      <w:pPr>
        <w:pStyle w:val="Normal"/>
        <w:jc w:val="center"/>
        <w:rPr/>
      </w:pPr>
      <w:r>
        <w:rPr/>
        <w:t>ANNEX I</w:t>
      </w:r>
    </w:p>
    <w:p>
      <w:pPr>
        <w:pStyle w:val="Normal"/>
        <w:jc w:val="center"/>
        <w:rPr/>
      </w:pPr>
      <w:r>
        <w:rPr/>
      </w:r>
    </w:p>
    <w:p>
      <w:pPr>
        <w:pStyle w:val="Heading1"/>
        <w:ind w:hanging="0" w:start="0"/>
        <w:rPr/>
      </w:pPr>
      <w:r>
        <w:rPr/>
        <w:t>Shares comprised in the Basket</w:t>
      </w:r>
    </w:p>
    <w:p>
      <w:pPr>
        <w:pStyle w:val="Normal"/>
        <w:jc w:val="center"/>
        <w:rPr>
          <w:b/>
        </w:rPr>
      </w:pPr>
      <w:r>
        <w:rPr>
          <w:b/>
        </w:rPr>
      </w:r>
    </w:p>
    <w:p>
      <w:pPr>
        <w:pStyle w:val="BodyText2"/>
        <w:rPr/>
      </w:pPr>
      <w:r>
        <w:rPr/>
        <w:t>The Basket is composed of the specified Shares of the Issuers listed below in the relative proportions and numbers set out in relation to each Issuer below.</w:t>
      </w:r>
    </w:p>
    <w:p>
      <w:pPr>
        <w:pStyle w:val="Header"/>
        <w:tabs>
          <w:tab w:val="clear" w:pos="4320"/>
          <w:tab w:val="clear" w:pos="8640"/>
        </w:tabs>
        <w:ind w:end="-1080"/>
        <w:rPr/>
      </w:pPr>
      <w:r>
        <w:rPr/>
      </w:r>
    </w:p>
    <w:tbl>
      <w:tblPr>
        <w:tblW w:w="11010" w:type="dxa"/>
        <w:jc w:val="start"/>
        <w:tblInd w:w="-1050" w:type="dxa"/>
        <w:tblLayout w:type="fixed"/>
        <w:tblCellMar>
          <w:top w:w="0" w:type="dxa"/>
          <w:start w:w="30" w:type="dxa"/>
          <w:bottom w:w="0" w:type="dxa"/>
          <w:end w:w="30" w:type="dxa"/>
        </w:tblCellMar>
      </w:tblPr>
      <w:tblGrid>
        <w:gridCol w:w="660"/>
        <w:gridCol w:w="810"/>
        <w:gridCol w:w="1620"/>
        <w:gridCol w:w="810"/>
        <w:gridCol w:w="1260"/>
        <w:gridCol w:w="1350"/>
        <w:gridCol w:w="2160"/>
        <w:gridCol w:w="990"/>
        <w:gridCol w:w="1350"/>
      </w:tblGrid>
      <w:tr>
        <w:trPr>
          <w:trHeight w:val="653"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Trade Date</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Effective Date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Basket Component Shares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Ticker Symbol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Class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Initial Share Price  (USD)</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Number of Shares comprised in the Basket</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Exchange(s)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i/>
                <w:color w:val="000000"/>
                <w:sz w:val="16"/>
                <w:lang w:eastAsia="en-US"/>
              </w:rPr>
            </w:pPr>
            <w:r>
              <w:rPr>
                <w:rFonts w:cs="Arial" w:ascii="Arial" w:hAnsi="Arial"/>
                <w:i/>
                <w:color w:val="000000"/>
                <w:sz w:val="16"/>
                <w:lang w:eastAsia="en-US"/>
              </w:rPr>
              <w:t>Notional Amount (USD)</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9.4958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450,000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4,273,110.00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1/17/01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10.173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140,000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1,424,220.00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10.9183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272,957.50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1/25/01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1/30/01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PG&amp;E Corp.</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PCG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12.2708</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920,310.00</w:t>
            </w:r>
          </w:p>
        </w:tc>
      </w:tr>
      <w:tr>
        <w:trPr>
          <w:trHeight w:val="247" w:hRule="atLeast"/>
        </w:trPr>
        <w:tc>
          <w:tcPr>
            <w:tcW w:w="6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1/29/01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2/1/01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Edison International</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EIX</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Common Stock</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13</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75,000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NYSE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lang w:eastAsia="en-US"/>
              </w:rPr>
            </w:pPr>
            <w:r>
              <w:rPr>
                <w:rFonts w:cs="Arial" w:ascii="Arial" w:hAnsi="Arial"/>
                <w:color w:val="000000"/>
                <w:sz w:val="16"/>
                <w:lang w:eastAsia="en-US"/>
              </w:rPr>
              <w:t>$      975,000.00</w:t>
            </w:r>
          </w:p>
        </w:tc>
      </w:tr>
      <w:tr>
        <w:trPr>
          <w:trHeight w:val="247"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80" w:hRule="atLeast"/>
        </w:trPr>
        <w:tc>
          <w:tcPr>
            <w:tcW w:w="6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81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62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81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6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160" w:type="dxa"/>
            <w:tcBorders/>
          </w:tcPr>
          <w:p>
            <w:pPr>
              <w:pStyle w:val="Normal"/>
              <w:jc w:val="center"/>
              <w:rPr>
                <w:rFonts w:ascii="Arial" w:hAnsi="Arial" w:cs="Arial"/>
                <w:color w:val="000000"/>
                <w:sz w:val="16"/>
                <w:lang w:eastAsia="en-US"/>
              </w:rPr>
            </w:pPr>
            <w:r>
              <w:rPr>
                <w:rFonts w:cs="Arial" w:ascii="Arial" w:hAnsi="Arial"/>
                <w:b/>
                <w:color w:val="000000"/>
                <w:sz w:val="16"/>
                <w:lang w:eastAsia="en-US"/>
              </w:rPr>
              <w:t>Equity Notional Amount:</w:t>
            </w:r>
          </w:p>
        </w:tc>
        <w:tc>
          <w:tcPr>
            <w:tcW w:w="990" w:type="dxa"/>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350"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   7,865,597.50</w:t>
            </w:r>
          </w:p>
        </w:tc>
      </w:tr>
    </w:tbl>
    <w:p>
      <w:pPr>
        <w:pStyle w:val="Header"/>
        <w:tabs>
          <w:tab w:val="clear" w:pos="4320"/>
          <w:tab w:val="clear" w:pos="8640"/>
        </w:tabs>
        <w:ind w:end="-1080"/>
        <w:rPr/>
      </w:pPr>
      <w:r>
        <w:rPr/>
      </w:r>
    </w:p>
    <w:p>
      <w:pPr>
        <w:pStyle w:val="Header"/>
        <w:tabs>
          <w:tab w:val="clear" w:pos="4320"/>
          <w:tab w:val="clear" w:pos="8640"/>
        </w:tabs>
        <w:ind w:end="-1080"/>
        <w:rPr>
          <w:rFonts w:ascii="Arial" w:hAnsi="Arial" w:cs="Arial"/>
          <w:b/>
          <w:color w:val="000000"/>
          <w:sz w:val="16"/>
          <w:lang w:eastAsia="en-US"/>
        </w:rPr>
      </w:pPr>
      <w:r>
        <w:rPr>
          <w:rFonts w:cs="Arial" w:ascii="Arial" w:hAnsi="Arial"/>
          <w:b/>
          <w:color w:val="000000"/>
          <w:sz w:val="16"/>
          <w:lang w:eastAsia="en-US"/>
        </w:rPr>
        <w:tab/>
        <w:tab/>
        <w:tab/>
        <w:tab/>
        <w:tab/>
        <w:tab/>
        <w:tab/>
        <w:tab/>
        <w:tab/>
        <w:tab/>
      </w:r>
    </w:p>
    <w:tbl>
      <w:tblPr>
        <w:tblW w:w="660" w:type="dxa"/>
        <w:jc w:val="start"/>
        <w:tblInd w:w="-1050" w:type="dxa"/>
        <w:tblLayout w:type="fixed"/>
        <w:tblCellMar>
          <w:top w:w="0" w:type="dxa"/>
          <w:start w:w="30" w:type="dxa"/>
          <w:bottom w:w="0" w:type="dxa"/>
          <w:end w:w="30" w:type="dxa"/>
        </w:tblCellMar>
      </w:tblPr>
      <w:tblGrid>
        <w:gridCol w:w="660"/>
      </w:tblGrid>
      <w:tr>
        <w:trPr>
          <w:trHeight w:val="247" w:hRule="atLeast"/>
        </w:trPr>
        <w:tc>
          <w:tcPr>
            <w:tcW w:w="660"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r>
    </w:tbl>
    <w:p>
      <w:pPr>
        <w:pStyle w:val="Header"/>
        <w:tabs>
          <w:tab w:val="clear" w:pos="4320"/>
          <w:tab w:val="clear" w:pos="8640"/>
        </w:tabs>
        <w:ind w:end="-1080"/>
        <w:rPr/>
      </w:pPr>
      <w:r>
        <w:rPr/>
      </w:r>
    </w:p>
    <w:p>
      <w:pPr>
        <w:pStyle w:val="BodyText"/>
        <w:tabs>
          <w:tab w:val="clear" w:pos="0"/>
          <w:tab w:val="clear" w:pos="3496"/>
        </w:tabs>
        <w:rPr/>
      </w:pPr>
      <w:r>
        <w:rPr/>
        <w:t>“</w:t>
      </w:r>
      <w:r>
        <w:rPr/>
        <w:t>NYSE” means New York Stock Exchange.</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EIXPCG01172001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4"/>
      <w:numFmt w:val="decimal"/>
      <w:lvlText w:val="%1."/>
      <w:lvlJc w:val="start"/>
      <w:pPr>
        <w:tabs>
          <w:tab w:val="num" w:pos="360"/>
        </w:tabs>
        <w:ind w:start="360" w:hanging="360"/>
      </w:pPr>
      <w:rPr/>
    </w:lvl>
  </w:abstractNum>
  <w:abstractNum w:abstractNumId="5">
    <w:lvl w:ilvl="0">
      <w:start w:val="2"/>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2001-03-27T12:07:00Z</dcterms:created>
  <dc:creator>laurel adams</dc:creator>
  <dc:description/>
  <dc:language>en-CA</dc:language>
  <cp:lastModifiedBy>jgarci11</cp:lastModifiedBy>
  <cp:lastPrinted>2001-04-06T12:14:00Z</cp:lastPrinted>
  <dcterms:modified xsi:type="dcterms:W3CDTF">2001-04-06T17:29:00Z</dcterms:modified>
  <cp:revision>39</cp:revision>
  <dc:subject/>
  <dc:title> </dc:title>
</cp:coreProperties>
</file>