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50" w:leader="none"/>
          <w:tab w:val="left" w:pos="990" w:leader="none"/>
        </w:tabs>
        <w:jc w:val="both"/>
        <w:rPr/>
      </w:pPr>
      <w:r>
        <w:rPr>
          <w:b/>
          <w:color w:val="000000"/>
          <w:sz w:val="24"/>
        </w:rPr>
        <w:t>Issue No.</w:t>
      </w:r>
      <w:r>
        <w:rPr>
          <w:color w:val="000000"/>
          <w:sz w:val="24"/>
        </w:rPr>
        <w:t xml:space="preserve">  00-19</w:t>
      </w:r>
    </w:p>
    <w:p>
      <w:pPr>
        <w:pStyle w:val="Normal"/>
        <w:tabs>
          <w:tab w:val="clear" w:pos="720"/>
          <w:tab w:val="left" w:pos="450" w:leader="none"/>
          <w:tab w:val="left" w:pos="990" w:leader="none"/>
        </w:tabs>
        <w:jc w:val="both"/>
        <w:rPr>
          <w:color w:val="000000"/>
          <w:sz w:val="24"/>
        </w:rPr>
      </w:pPr>
      <w:r>
        <w:rPr>
          <w:color w:val="000000"/>
          <w:sz w:val="24"/>
        </w:rPr>
      </w:r>
    </w:p>
    <w:p>
      <w:pPr>
        <w:pStyle w:val="Normal"/>
        <w:tabs>
          <w:tab w:val="clear" w:pos="720"/>
          <w:tab w:val="left" w:pos="450" w:leader="none"/>
          <w:tab w:val="left" w:pos="990" w:leader="none"/>
        </w:tabs>
        <w:ind w:hanging="720" w:start="720" w:end="0"/>
        <w:jc w:val="both"/>
        <w:rPr>
          <w:color w:val="000000"/>
          <w:sz w:val="24"/>
        </w:rPr>
      </w:pPr>
      <w:r>
        <w:rPr>
          <w:b/>
          <w:color w:val="000000"/>
          <w:sz w:val="24"/>
        </w:rPr>
        <w:t>Title:</w:t>
      </w:r>
      <w:r>
        <w:rPr>
          <w:color w:val="000000"/>
          <w:sz w:val="24"/>
        </w:rPr>
        <w:tab/>
      </w:r>
      <w:r>
        <w:rPr>
          <w:sz w:val="24"/>
        </w:rPr>
        <w:t>Determination of Whether Share Settlement Is within the Control of the Issuer for Purposes of Applying EITF Issue No. 96-13, "Accounting for Derivative Financial Instruments Indexed to, and Potentially Settled in, a Company's Own Stock"</w:t>
      </w:r>
    </w:p>
    <w:p>
      <w:pPr>
        <w:pStyle w:val="Normal"/>
        <w:tabs>
          <w:tab w:val="clear" w:pos="720"/>
          <w:tab w:val="left" w:pos="450" w:leader="none"/>
          <w:tab w:val="left" w:pos="990" w:leader="none"/>
        </w:tabs>
        <w:jc w:val="both"/>
        <w:rPr>
          <w:color w:val="000000"/>
          <w:sz w:val="24"/>
        </w:rPr>
      </w:pPr>
      <w:r>
        <w:rPr>
          <w:color w:val="000000"/>
          <w:sz w:val="24"/>
        </w:rPr>
      </w:r>
    </w:p>
    <w:p>
      <w:pPr>
        <w:pStyle w:val="Normal"/>
        <w:tabs>
          <w:tab w:val="clear" w:pos="720"/>
          <w:tab w:val="left" w:pos="450" w:leader="none"/>
          <w:tab w:val="left" w:pos="990" w:leader="none"/>
        </w:tabs>
        <w:ind w:hanging="1890" w:start="1890" w:end="0"/>
        <w:jc w:val="both"/>
        <w:rPr/>
      </w:pPr>
      <w:r>
        <w:rPr>
          <w:b/>
          <w:color w:val="000000"/>
          <w:sz w:val="24"/>
        </w:rPr>
        <w:t>Date Discussed:</w:t>
      </w:r>
      <w:r>
        <w:rPr>
          <w:color w:val="000000"/>
          <w:sz w:val="24"/>
        </w:rPr>
        <w:tab/>
        <w:t>July 19</w:t>
      </w:r>
      <w:r>
        <w:rPr>
          <w:sz w:val="24"/>
        </w:rPr>
        <w:t>–</w:t>
      </w:r>
      <w:r>
        <w:rPr>
          <w:color w:val="000000"/>
          <w:sz w:val="24"/>
        </w:rPr>
        <w:t>20, 2000</w:t>
      </w:r>
    </w:p>
    <w:p>
      <w:pPr>
        <w:pStyle w:val="Normal"/>
        <w:tabs>
          <w:tab w:val="clear" w:pos="720"/>
          <w:tab w:val="left" w:pos="450" w:leader="none"/>
          <w:tab w:val="left" w:pos="990" w:leader="none"/>
        </w:tabs>
        <w:jc w:val="both"/>
        <w:rPr>
          <w:color w:val="000000"/>
          <w:sz w:val="24"/>
        </w:rPr>
      </w:pPr>
      <w:r>
        <w:rPr>
          <w:color w:val="000000"/>
          <w:sz w:val="24"/>
        </w:rPr>
      </w:r>
    </w:p>
    <w:p>
      <w:pPr>
        <w:pStyle w:val="Normal"/>
        <w:tabs>
          <w:tab w:val="clear" w:pos="720"/>
          <w:tab w:val="left" w:pos="450" w:leader="none"/>
          <w:tab w:val="left" w:pos="990" w:leader="none"/>
          <w:tab w:val="left" w:pos="1440" w:leader="none"/>
        </w:tabs>
        <w:spacing w:before="0" w:after="120"/>
        <w:ind w:hanging="1710" w:start="1710" w:end="0"/>
        <w:jc w:val="both"/>
        <w:rPr>
          <w:sz w:val="24"/>
        </w:rPr>
      </w:pPr>
      <w:r>
        <w:rPr>
          <w:b/>
          <w:sz w:val="24"/>
        </w:rPr>
        <w:t>References:</w:t>
        <w:tab/>
      </w:r>
      <w:r>
        <w:rPr>
          <w:sz w:val="24"/>
        </w:rPr>
        <w:t xml:space="preserve">FASB Statement No. 3, </w:t>
      </w:r>
      <w:r>
        <w:rPr>
          <w:i/>
          <w:sz w:val="24"/>
        </w:rPr>
        <w:t>Reporting Accounting Changes in Interim Financial Statements</w:t>
      </w:r>
    </w:p>
    <w:p>
      <w:pPr>
        <w:pStyle w:val="Normal"/>
        <w:tabs>
          <w:tab w:val="clear" w:pos="720"/>
          <w:tab w:val="left" w:pos="450" w:leader="none"/>
          <w:tab w:val="left" w:pos="990" w:leader="none"/>
        </w:tabs>
        <w:spacing w:before="0" w:after="120"/>
        <w:ind w:hanging="288" w:start="1728" w:end="0"/>
        <w:jc w:val="both"/>
        <w:rPr>
          <w:sz w:val="24"/>
        </w:rPr>
      </w:pPr>
      <w:r>
        <w:rPr>
          <w:sz w:val="24"/>
        </w:rPr>
        <w:t xml:space="preserve">APB Opinion No. 20, </w:t>
      </w:r>
      <w:r>
        <w:rPr>
          <w:i/>
          <w:sz w:val="24"/>
        </w:rPr>
        <w:t>Accounting Changes</w:t>
      </w:r>
    </w:p>
    <w:p>
      <w:pPr>
        <w:pStyle w:val="Normal"/>
        <w:tabs>
          <w:tab w:val="clear" w:pos="720"/>
          <w:tab w:val="left" w:pos="450" w:leader="none"/>
          <w:tab w:val="left" w:pos="990" w:leader="none"/>
        </w:tabs>
        <w:spacing w:before="0" w:after="120"/>
        <w:ind w:hanging="288" w:start="1728" w:end="0"/>
        <w:jc w:val="both"/>
        <w:rPr>
          <w:sz w:val="24"/>
        </w:rPr>
      </w:pPr>
      <w:r>
        <w:rPr>
          <w:sz w:val="24"/>
        </w:rPr>
        <w:t xml:space="preserve">SEC Accounting Series Release No. 268, </w:t>
      </w:r>
      <w:r>
        <w:rPr>
          <w:i/>
          <w:sz w:val="24"/>
        </w:rPr>
        <w:t>Presentation in Financial Statements of "Redeemable Preferred Stocks"</w:t>
      </w:r>
    </w:p>
    <w:p>
      <w:pPr>
        <w:pStyle w:val="Normal"/>
        <w:tabs>
          <w:tab w:val="clear" w:pos="720"/>
          <w:tab w:val="left" w:pos="450" w:leader="none"/>
          <w:tab w:val="left" w:pos="990" w:leader="none"/>
        </w:tabs>
        <w:spacing w:before="0" w:after="120"/>
        <w:ind w:hanging="288" w:start="1728" w:end="0"/>
        <w:jc w:val="both"/>
        <w:rPr>
          <w:sz w:val="24"/>
        </w:rPr>
      </w:pPr>
      <w:r>
        <w:rPr>
          <w:sz w:val="24"/>
        </w:rPr>
        <w:t xml:space="preserve">SEC Staff Accounting Bulletin No. 74, </w:t>
      </w:r>
      <w:r>
        <w:rPr>
          <w:i/>
          <w:sz w:val="24"/>
        </w:rPr>
        <w:t>Disclosure of the Impact That Recently Issued Accounting Standards Will Have on the Financial Statements of the Registrant When Adopted in a Future Period</w:t>
      </w:r>
    </w:p>
    <w:p>
      <w:pPr>
        <w:pStyle w:val="Normal"/>
        <w:tabs>
          <w:tab w:val="clear" w:pos="720"/>
          <w:tab w:val="left" w:pos="450" w:leader="none"/>
          <w:tab w:val="left" w:pos="990" w:leader="none"/>
        </w:tabs>
        <w:spacing w:before="0" w:after="120"/>
        <w:ind w:hanging="288" w:start="1728" w:end="0"/>
        <w:jc w:val="both"/>
        <w:rPr>
          <w:sz w:val="24"/>
        </w:rPr>
      </w:pPr>
      <w:r>
        <w:rPr>
          <w:sz w:val="24"/>
        </w:rPr>
        <w:t xml:space="preserve">SEC Regulation S-X, Rule 5-02.28, </w:t>
      </w:r>
      <w:r>
        <w:rPr>
          <w:i/>
          <w:sz w:val="24"/>
        </w:rPr>
        <w:t>Redeemable Preferred Stocks</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b/>
          <w:sz w:val="24"/>
        </w:rPr>
      </w:pPr>
      <w:r>
        <w:rPr>
          <w:b/>
          <w:sz w:val="24"/>
        </w:rPr>
        <w:t>Introduction</w:t>
      </w:r>
    </w:p>
    <w:p>
      <w:pPr>
        <w:pStyle w:val="Normal"/>
        <w:tabs>
          <w:tab w:val="clear" w:pos="720"/>
          <w:tab w:val="left" w:pos="450" w:leader="none"/>
          <w:tab w:val="left" w:pos="990" w:leader="none"/>
        </w:tabs>
        <w:jc w:val="both"/>
        <w:rPr>
          <w:sz w:val="24"/>
        </w:rPr>
      </w:pPr>
      <w:r>
        <w:rPr>
          <w:sz w:val="24"/>
        </w:rPr>
        <w:t>1.</w:t>
        <w:tab/>
        <w:t>EITF Issue No. 96-13, "Accounting for Derivative Financial Instruments Indexed to, and Potentially Settled in, a Company's Own Stock," addresses the accounting for equity derivative contracts indexed to, and potentially settled in, a company's own stock.  The Issue 96-13 model classifies those derivative contracts into two categories: (a) those that are accounted for as assets or liabilities and marked to market through income and (b) those that are accounted for as equity at fair value upon issuance.  Under the model, contract classification is based on the concept that contracts that require or provide the counterparty with the choice of net-cash settlement are assets or liabilities, and contracts that require or permit the company to settle in shares (either physically or net-share) are equity instruments.  However, if a contract that is classified as equity (a) requires physical settlement, (b) provides the counterparty with the choice of physical settlement or net-share settlement, or (c) provides the company with the choice of net-cash or physical settlement, and the company will deliver cash in that physical settlement, then the cash redemption amount upon physical settlement must be transferred to temporary equity at the initiation of the contract if the company is public.</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pPr>
      <w:r>
        <w:rPr>
          <w:sz w:val="24"/>
        </w:rPr>
        <w:t>2.</w:t>
        <w:tab/>
        <w:t>EITF</w:t>
      </w:r>
      <w:r>
        <w:rPr/>
        <w:t xml:space="preserve"> </w:t>
      </w:r>
      <w:r>
        <w:rPr>
          <w:sz w:val="24"/>
        </w:rPr>
        <w:t xml:space="preserve">Issue No. 00-7, "Application of Issue No. 96-13 to Equity Derivative Instruments That Contain Certain Provisions That Require Net Cash Settlement If Certain Events outside the Control of the Issuer Occur," clarified the consensus in Issue 96-13 as it relates to settlement provisions triggered by a specified event.  Under Issue 00-7, contracts that include </w:t>
      </w:r>
      <w:r>
        <w:rPr>
          <w:sz w:val="24"/>
          <w:u w:val="single"/>
        </w:rPr>
        <w:t>any</w:t>
      </w:r>
      <w:r>
        <w:rPr>
          <w:sz w:val="24"/>
        </w:rPr>
        <w:t xml:space="preserve"> provision triggered by an event beyond the company's control that could </w:t>
      </w:r>
      <w:r>
        <w:rPr>
          <w:sz w:val="24"/>
          <w:u w:val="single"/>
        </w:rPr>
        <w:t>require</w:t>
      </w:r>
      <w:r>
        <w:rPr>
          <w:sz w:val="24"/>
        </w:rPr>
        <w:t xml:space="preserve"> net-cash settlement by the company must be classified as an asset or a liability.  Similarly, for public companies, Issue 00-7 requires contracts with any provision triggered by an event beyond the company's control that could require physical settlement by a cash payment to the counterparty in exchange for the company's shares to be classified as temporary equity (assuming no contract provision could impose net-cash settlement on the company, in which case the contract would be classified as an asset or a liability).  The conclusions in Issue 00-7 do not allow consideration of the likelihood that an event will occur that would require net-cash settlement (or physical settlement by delivering cash), except that settlement provisions that require the payment of cash only in the event of final liquidation of the company need not be considered when applying Issues 96-13 and 00-7.  The conclusions in Issue 00-7 are consistent with the views of the SEC staff in applying ASR 268.</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sz w:val="24"/>
        </w:rPr>
      </w:pPr>
      <w:r>
        <w:rPr>
          <w:sz w:val="24"/>
        </w:rPr>
        <w:t>3.</w:t>
        <w:tab/>
        <w:t>In the process of examining contract structures to evaluate whether equity classification remains appropriate under the consensus reached in Issue 00-7, numerous questions have arisen about whether specific contract provisions or other circumstances could cause net-share or physical settlement to be outside the control of a company.  The questions that have been raised focus both on the specific terms of a contract and on the legal or regulatory impediments a company could encounter in trying to execute a net-share or physical settlement.  For the purposes of this analysis, the "company" includes the company's management and its board of directors (or similar governing body) but does not include its shareholders.</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b/>
          <w:sz w:val="24"/>
        </w:rPr>
      </w:pPr>
      <w:r>
        <w:rPr>
          <w:b/>
          <w:sz w:val="24"/>
        </w:rPr>
        <w:t>Issues</w:t>
      </w:r>
    </w:p>
    <w:p>
      <w:pPr>
        <w:pStyle w:val="Normal"/>
        <w:tabs>
          <w:tab w:val="clear" w:pos="720"/>
          <w:tab w:val="left" w:pos="450" w:leader="none"/>
          <w:tab w:val="left" w:pos="990" w:leader="none"/>
        </w:tabs>
        <w:jc w:val="both"/>
        <w:rPr>
          <w:sz w:val="24"/>
        </w:rPr>
      </w:pPr>
      <w:r>
        <w:rPr>
          <w:sz w:val="24"/>
        </w:rPr>
        <w:t>4.</w:t>
        <w:tab/>
        <w:t>The issues are whether (a) a company controls the events or actions necessary to net-share or physically settle a contract in the circumstances discussed in paragraphs 5 through 18, below, and (b) contract classification should be reassessed throughout the life of the contract and, if so, how a change in classification should be accounted for.</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sz w:val="24"/>
        </w:rPr>
      </w:pPr>
      <w:r>
        <w:rPr>
          <w:b/>
          <w:sz w:val="24"/>
        </w:rPr>
        <w:t>Current EITF Discussion</w:t>
      </w:r>
    </w:p>
    <w:p>
      <w:pPr>
        <w:pStyle w:val="Normal"/>
        <w:tabs>
          <w:tab w:val="clear" w:pos="720"/>
          <w:tab w:val="left" w:pos="450" w:leader="none"/>
          <w:tab w:val="left" w:pos="990" w:leader="none"/>
        </w:tabs>
        <w:jc w:val="both"/>
        <w:rPr>
          <w:sz w:val="24"/>
        </w:rPr>
      </w:pPr>
      <w:r>
        <w:rPr>
          <w:sz w:val="24"/>
        </w:rPr>
        <w:t>5.</w:t>
        <w:tab/>
        <w:t>The Task Force reached a tentative conclusion that a derivative indexed to, and potentially settled in, a company's own stock can be classified in stockholders' equity only if all of the following conditions are met:</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ind w:hanging="450" w:start="450" w:end="0"/>
        <w:jc w:val="both"/>
        <w:rPr/>
      </w:pPr>
      <w:r>
        <w:rPr>
          <w:rFonts w:eastAsia="Symbol" w:cs="Symbol" w:ascii="Symbol" w:hAnsi="Symbol"/>
          <w:sz w:val="24"/>
        </w:rPr>
        <w:sym w:font="Symbol" w:char="f0b7"/>
      </w:r>
      <w:r>
        <w:rPr>
          <w:sz w:val="24"/>
        </w:rPr>
        <w:tab/>
        <w:t>The contract permits the company to settle in either registered or unregistered shares (that is, the ability to deliver registered shares is outside the control of a company).</w:t>
      </w:r>
    </w:p>
    <w:p>
      <w:pPr>
        <w:pStyle w:val="Normal"/>
        <w:tabs>
          <w:tab w:val="clear" w:pos="720"/>
          <w:tab w:val="left" w:pos="450" w:leader="none"/>
          <w:tab w:val="left" w:pos="990" w:leader="none"/>
        </w:tabs>
        <w:ind w:hanging="450" w:start="450" w:end="0"/>
        <w:jc w:val="both"/>
        <w:rPr>
          <w:sz w:val="24"/>
        </w:rPr>
      </w:pPr>
      <w:r>
        <w:rPr>
          <w:sz w:val="24"/>
        </w:rPr>
      </w:r>
    </w:p>
    <w:p>
      <w:pPr>
        <w:pStyle w:val="Normal"/>
        <w:tabs>
          <w:tab w:val="clear" w:pos="720"/>
          <w:tab w:val="left" w:pos="450" w:leader="none"/>
          <w:tab w:val="left" w:pos="990" w:leader="none"/>
        </w:tabs>
        <w:ind w:hanging="450" w:start="450" w:end="0"/>
        <w:jc w:val="both"/>
        <w:rPr/>
      </w:pPr>
      <w:r>
        <w:rPr>
          <w:rFonts w:eastAsia="Symbol" w:cs="Symbol" w:ascii="Symbol" w:hAnsi="Symbol"/>
          <w:sz w:val="24"/>
        </w:rPr>
        <w:sym w:font="Symbol" w:char="f0b7"/>
      </w:r>
      <w:r>
        <w:rPr>
          <w:sz w:val="24"/>
        </w:rPr>
        <w:tab/>
        <w:t>The company has sufficient authorized but unissued shares available to settle the contract after considering all other commitments that may require the issuance of stock during the period the derivative could remain outstanding.  (The Task Force tentatively concluded that the need to obtain shareholder approval of additional share authorizations is outside the control of the company.)</w:t>
      </w:r>
    </w:p>
    <w:p>
      <w:pPr>
        <w:pStyle w:val="Normal"/>
        <w:tabs>
          <w:tab w:val="clear" w:pos="720"/>
          <w:tab w:val="left" w:pos="450" w:leader="none"/>
          <w:tab w:val="left" w:pos="990" w:leader="none"/>
        </w:tabs>
        <w:ind w:hanging="450" w:start="450" w:end="0"/>
        <w:jc w:val="both"/>
        <w:rPr>
          <w:sz w:val="24"/>
        </w:rPr>
      </w:pPr>
      <w:r>
        <w:rPr>
          <w:sz w:val="24"/>
        </w:rPr>
      </w:r>
    </w:p>
    <w:p>
      <w:pPr>
        <w:pStyle w:val="Normal"/>
        <w:tabs>
          <w:tab w:val="clear" w:pos="720"/>
          <w:tab w:val="left" w:pos="450" w:leader="none"/>
          <w:tab w:val="left" w:pos="990" w:leader="none"/>
        </w:tabs>
        <w:ind w:hanging="450" w:start="450" w:end="0"/>
        <w:jc w:val="both"/>
        <w:rPr/>
      </w:pPr>
      <w:r>
        <w:rPr>
          <w:rFonts w:eastAsia="Symbol" w:cs="Symbol" w:ascii="Symbol" w:hAnsi="Symbol"/>
          <w:sz w:val="24"/>
        </w:rPr>
        <w:sym w:font="Symbol" w:char="f0b7"/>
      </w:r>
      <w:r>
        <w:rPr>
          <w:sz w:val="24"/>
        </w:rPr>
        <w:tab/>
        <w:t>The contract contains an explicit limit on the number of shares to be delivered in a share settlement.  This limit must apply even if the contract terminates when the stock price reaches a stated price trigger.  (The Task Force tentatively concluded that a limitation is required to determine whether a company has sufficient authorized and unissued shares to settle the contract.)</w:t>
      </w:r>
    </w:p>
    <w:p>
      <w:pPr>
        <w:pStyle w:val="Normal"/>
        <w:tabs>
          <w:tab w:val="clear" w:pos="720"/>
          <w:tab w:val="left" w:pos="450" w:leader="none"/>
          <w:tab w:val="left" w:pos="990" w:leader="none"/>
        </w:tabs>
        <w:ind w:hanging="450" w:start="450" w:end="0"/>
        <w:jc w:val="both"/>
        <w:rPr>
          <w:sz w:val="24"/>
        </w:rPr>
      </w:pPr>
      <w:r>
        <w:rPr>
          <w:sz w:val="24"/>
        </w:rPr>
      </w:r>
    </w:p>
    <w:p>
      <w:pPr>
        <w:pStyle w:val="Normal"/>
        <w:tabs>
          <w:tab w:val="clear" w:pos="720"/>
          <w:tab w:val="left" w:pos="450" w:leader="none"/>
          <w:tab w:val="left" w:pos="990" w:leader="none"/>
        </w:tabs>
        <w:ind w:hanging="450" w:start="450" w:end="0"/>
        <w:jc w:val="both"/>
        <w:rPr/>
      </w:pPr>
      <w:r>
        <w:rPr>
          <w:rFonts w:eastAsia="Symbol" w:cs="Symbol" w:ascii="Symbol" w:hAnsi="Symbol"/>
          <w:sz w:val="24"/>
        </w:rPr>
        <w:sym w:font="Symbol" w:char="f0b7"/>
      </w:r>
      <w:r>
        <w:rPr>
          <w:sz w:val="24"/>
        </w:rPr>
        <w:tab/>
        <w:t>There is no requirement in the contract to post collateral at any point or for any reason.</w:t>
      </w:r>
    </w:p>
    <w:p>
      <w:pPr>
        <w:pStyle w:val="Normal"/>
        <w:tabs>
          <w:tab w:val="clear" w:pos="720"/>
          <w:tab w:val="left" w:pos="450" w:leader="none"/>
          <w:tab w:val="left" w:pos="990" w:leader="none"/>
        </w:tabs>
        <w:ind w:hanging="450" w:start="450" w:end="0"/>
        <w:jc w:val="both"/>
        <w:rPr>
          <w:sz w:val="24"/>
        </w:rPr>
      </w:pPr>
      <w:r>
        <w:rPr>
          <w:sz w:val="24"/>
        </w:rPr>
      </w:r>
    </w:p>
    <w:p>
      <w:pPr>
        <w:pStyle w:val="Normal"/>
        <w:tabs>
          <w:tab w:val="clear" w:pos="720"/>
          <w:tab w:val="left" w:pos="450" w:leader="none"/>
          <w:tab w:val="left" w:pos="990" w:leader="none"/>
        </w:tabs>
        <w:ind w:hanging="450" w:start="450" w:end="0"/>
        <w:jc w:val="both"/>
        <w:rPr/>
      </w:pPr>
      <w:r>
        <w:rPr>
          <w:rFonts w:eastAsia="Symbol" w:cs="Symbol" w:ascii="Symbol" w:hAnsi="Symbol"/>
          <w:sz w:val="24"/>
        </w:rPr>
        <w:sym w:font="Symbol" w:char="f0b7"/>
      </w:r>
      <w:r>
        <w:rPr>
          <w:sz w:val="24"/>
        </w:rPr>
        <w:tab/>
        <w:t>There are no required cash payments to the counterparty if the shares initially delivered are subsequently sold by the counterparty and the sales proceeds are insufficient to provide the counterparty with full return of the amount due (that is, there is no cash settled "top-off" or "make-whole" provisions).</w:t>
      </w:r>
    </w:p>
    <w:p>
      <w:pPr>
        <w:pStyle w:val="Normal"/>
        <w:tabs>
          <w:tab w:val="clear" w:pos="720"/>
          <w:tab w:val="left" w:pos="450" w:leader="none"/>
          <w:tab w:val="left" w:pos="990" w:leader="none"/>
        </w:tabs>
        <w:ind w:hanging="450" w:start="450" w:end="0"/>
        <w:jc w:val="both"/>
        <w:rPr>
          <w:sz w:val="24"/>
        </w:rPr>
      </w:pPr>
      <w:r>
        <w:rPr>
          <w:sz w:val="24"/>
        </w:rPr>
      </w:r>
    </w:p>
    <w:p>
      <w:pPr>
        <w:pStyle w:val="Normal"/>
        <w:tabs>
          <w:tab w:val="clear" w:pos="720"/>
          <w:tab w:val="left" w:pos="450" w:leader="none"/>
          <w:tab w:val="left" w:pos="990" w:leader="none"/>
        </w:tabs>
        <w:ind w:hanging="450" w:start="450" w:end="0"/>
        <w:jc w:val="both"/>
        <w:rPr/>
      </w:pPr>
      <w:r>
        <w:rPr>
          <w:rFonts w:eastAsia="Symbol" w:cs="Symbol" w:ascii="Symbol" w:hAnsi="Symbol"/>
          <w:sz w:val="24"/>
        </w:rPr>
        <w:sym w:font="Symbol" w:char="f0b7"/>
      </w:r>
      <w:r>
        <w:rPr>
          <w:sz w:val="24"/>
        </w:rPr>
        <w:tab/>
        <w:t>There are no provisions in the contract that indicate the counterparty has rights that rank higher than those of a shareholder of the stock underlying the contract.</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sz w:val="24"/>
        </w:rPr>
      </w:pPr>
      <w:r>
        <w:rPr>
          <w:sz w:val="24"/>
        </w:rPr>
        <w:t>6.</w:t>
        <w:tab/>
        <w:t>A contract may require a company to either net-share settle or physically settle a contract by delivering cash and receiving its shares (as could be the case in a forward purchase contract or written put option).  In that case, if the company does not control net-share settlement pursuant to the model described above or the issues described below, the contract would continue to be classified as an equity instrument.  However, a public company would be required at contract initiation to transfer the cash redemption amount due upon physical settlement to temporary equity.</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sz w:val="24"/>
        </w:rPr>
      </w:pPr>
      <w:r>
        <w:rPr>
          <w:sz w:val="24"/>
        </w:rPr>
        <w:t>7.</w:t>
        <w:tab/>
        <w:t>The tentative conclusions on the following issues are based on the above model.</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i/>
          <w:i/>
          <w:sz w:val="24"/>
        </w:rPr>
      </w:pPr>
      <w:r>
        <w:rPr>
          <w:i/>
          <w:sz w:val="24"/>
        </w:rPr>
        <w:t>Issue 1—The contract requires the company to settle the contract by delivering registered shares in either a net-share or physical settlement, or cash in a net-cash settlement.  Alternatively, the contract could require the company to deliver unregistered shares in either a net-share or physical settlement, or cash in a net-cash settlement.  The issue is whether the company controls the actions or events necessary to deliver shares at the settlement date in (a) registered form or (b) unregistered form.</w:t>
      </w:r>
    </w:p>
    <w:p>
      <w:pPr>
        <w:pStyle w:val="Normal"/>
        <w:tabs>
          <w:tab w:val="clear" w:pos="720"/>
          <w:tab w:val="left" w:pos="450" w:leader="none"/>
          <w:tab w:val="left" w:pos="990" w:leader="none"/>
        </w:tabs>
        <w:jc w:val="both"/>
        <w:rPr>
          <w:i/>
          <w:i/>
          <w:sz w:val="24"/>
        </w:rPr>
      </w:pPr>
      <w:r>
        <w:rPr>
          <w:i/>
          <w:sz w:val="24"/>
        </w:rPr>
      </w:r>
    </w:p>
    <w:p>
      <w:pPr>
        <w:pStyle w:val="Normal"/>
        <w:tabs>
          <w:tab w:val="clear" w:pos="720"/>
          <w:tab w:val="left" w:pos="450" w:leader="none"/>
          <w:tab w:val="left" w:pos="990" w:leader="none"/>
        </w:tabs>
        <w:jc w:val="both"/>
        <w:rPr>
          <w:sz w:val="24"/>
        </w:rPr>
      </w:pPr>
      <w:r>
        <w:rPr>
          <w:sz w:val="24"/>
        </w:rPr>
        <w:t>8.</w:t>
        <w:tab/>
        <w:t>The Task Force reached a tentative conclusion that the events or actions necessary to deliver registered shares are not within the control of a company and, therefore, if the contract permits the company to net-share settle the contract only by delivering registered shares, it is assumed under the Issue 96-13 model that the company will be required to net-cash settle the contract.  As a result, the contract must be classified as an asset or a liability.  However, the Task Force tentatively concluded that delivery of unregistered shares in a private placement to the counterparty is within the control of a company, as long as a failed registration statement (that is, a registration statement that was filed with the SEC and subsequently withdrawn) has not occurred within six months prior to the classification assessment date.  If a failed registration statement has occurred within six months of the classification assessment date, whether a company can deliver unregistered shares to the counterparty in a net-share or physical settlement is a legal determination (which the Task Force observed may require an opinion of legal counsel).  Accordingly, assuming a failed registration statement has not occurred, if the contract permits a company to net-share settle the contract by delivery of unregistered shares, and if the other conditions in this Issue and in Issues 96-13 and 00-7 are met, the contract should be classified as a permanent equity instrument (even if the contract also permits the company to net-share settle the contract by delivering registered shares).</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pPr>
      <w:r>
        <w:rPr>
          <w:sz w:val="24"/>
        </w:rPr>
        <w:t>9.</w:t>
        <w:tab/>
        <w:t xml:space="preserve">The Task Force noted that a contract may specify that the value of the unregistered shares to be privately placed under share settlement is to be determined by the counterparty using "commercially reasonable means."  That valuation is used to determine the number of unregistered shares that must be delivered to the counterparty.  The Task Force tentatively concluded that the term </w:t>
      </w:r>
      <w:r>
        <w:rPr>
          <w:i/>
          <w:sz w:val="24"/>
        </w:rPr>
        <w:t>commercially reasonable means</w:t>
      </w:r>
      <w:r>
        <w:rPr>
          <w:sz w:val="24"/>
        </w:rPr>
        <w:t xml:space="preserve"> is sufficiently objective from a legal perspective to prevent a counterparty from producing an unrealistic value that would then compel a company to net-cash settle the contract.  Similarly, the Task Force observed that a contractual requirement to determine the fair value of unregistered shares by obtaining market quotations is sufficiently objective and would not suggest that the settlement alternatives have different economic values.</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sz w:val="24"/>
        </w:rPr>
      </w:pPr>
      <w:r>
        <w:rPr>
          <w:sz w:val="24"/>
        </w:rPr>
        <w:t>10.</w:t>
        <w:tab/>
        <w:t>The Task Force observed that if a settlement alternative includes a penalty that would be avoided by a company under other settlement alternatives, that penalty would require that the contract be accounted for based on the economic substance of the transaction pursuant to Issue 96-13.  In other words, the uneconomic settlement alternative would be disregarded in classifying the contract under the Issue 96-13 model.  The Task Force also observed that in the case of delivery of unregistered shares, a reasonable discount from the value of the corresponding registered shares that is a reasonable estimate of the difference in fair values between registered and unregistered shares would not be considered a penalty.</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i/>
          <w:i/>
          <w:sz w:val="24"/>
        </w:rPr>
      </w:pPr>
      <w:r>
        <w:rPr>
          <w:i/>
          <w:sz w:val="24"/>
        </w:rPr>
        <w:t>Issue 2—The contract requires the company at the settlement date to deliver unregistered shares either in a net-share or physical settlement, or to net-cash settle the contract.  The issue is whether the company controls the actions or events necessary to have sufficient authorized shares for a net-share or physical settlement.</w:t>
      </w:r>
    </w:p>
    <w:p>
      <w:pPr>
        <w:pStyle w:val="Normal"/>
        <w:tabs>
          <w:tab w:val="clear" w:pos="720"/>
          <w:tab w:val="left" w:pos="450" w:leader="none"/>
          <w:tab w:val="left" w:pos="990" w:leader="none"/>
        </w:tabs>
        <w:jc w:val="both"/>
        <w:rPr>
          <w:i/>
          <w:i/>
          <w:sz w:val="24"/>
        </w:rPr>
      </w:pPr>
      <w:r>
        <w:rPr>
          <w:i/>
          <w:sz w:val="24"/>
        </w:rPr>
      </w:r>
    </w:p>
    <w:p>
      <w:pPr>
        <w:pStyle w:val="Normal"/>
        <w:tabs>
          <w:tab w:val="clear" w:pos="720"/>
          <w:tab w:val="left" w:pos="450" w:leader="none"/>
          <w:tab w:val="left" w:pos="990" w:leader="none"/>
        </w:tabs>
        <w:jc w:val="both"/>
        <w:rPr/>
      </w:pPr>
      <w:r>
        <w:rPr>
          <w:sz w:val="24"/>
        </w:rPr>
        <w:t>11.</w:t>
        <w:tab/>
        <w:t>The Task Force tentatively concluded that if a company could be required to obtain shareholder approval to increase the company's authorized shares in order to net-share or physically settle a contract, share settlement is not within the control of the company.  Accordingly, a company must evaluate whether a sufficient number of authorized and unissued shares exist at the classification assessment date to control settlement by delivering shares.  In that evaluation, a company must compare (a) the number of currently authorized but unissued shares, less the maximum number of shares that could be required to be delivered during the contract period under existing commitments (for example, outstanding convertible debt that is convertible during the contract period or outstanding stock options that are or will become exercisable during the contract period</w:t>
      </w:r>
      <w:r>
        <w:rPr>
          <w:rStyle w:val="FootnoteCharacters"/>
          <w:rStyle w:val="FootnoteReference"/>
          <w:sz w:val="24"/>
        </w:rPr>
        <w:footnoteReference w:customMarkFollows="1" w:id="2"/>
        <w:t>1</w:t>
      </w:r>
      <w:r>
        <w:rPr>
          <w:sz w:val="24"/>
        </w:rPr>
        <w:t>) with (b) the maximum number of shares that could be required to be delivered under share settlement (either net-share or physical) of the contract.  If the amount in (a), above, exceeds the amount in (b) and the other criteria in this Issue are met, the company controls share settlement and the contract should be classified as a permanent equity instrument.  Otherwise, share settlement is not within the control of the company and asset or liability classification is required.</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sz w:val="24"/>
        </w:rPr>
      </w:pPr>
      <w:r>
        <w:rPr>
          <w:sz w:val="24"/>
        </w:rPr>
        <w:t>12.</w:t>
        <w:tab/>
        <w:t>The Task Force observed that for certain contracts the number of shares that could be required to be delivered upon settlement is essentially indeterminate.  For example, assume that a company writes a put option to a counterparty that permits the counterparty to sell 100,000 company shares to the company at $100 per share.  The contract permits the company to net-share settle the contract.  If the market price of the company's shares falls to $1 as of the settlement date, the company would be required to deliver 9,900,000 shares.  If the market price of the shares falls to $0.125, the company would be required to deliver 79,900,000 shares.  If the number of shares that could be required to be delivered to settle the contract is indeterminate, a company will be unable to conclude that it has sufficient available authorized shares and, therefore, share settlement is not within the control of the company.</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sz w:val="24"/>
        </w:rPr>
      </w:pPr>
      <w:r>
        <w:rPr>
          <w:sz w:val="24"/>
        </w:rPr>
        <w:t>13.</w:t>
        <w:tab/>
        <w:t>The Task Force observed that if a contract limits or caps the number of shares to be delivered upon expiration of the contract to a fixed number, that fixed maximum number could be compared to the available authorized but unissued shares (the available number after considering the maximum number of shares that could be required to be delivered during the contract period under existing commitments as addressed in paragraph 11 of this Issue and including top-off or make-whole provisions as discussed in paragraph 20 of this Issue) to determine if share settlement is within the control of the company.  The Task Force also noted that a contract termination trigger alone (for example, a provision that requires that the contract will be terminated and settled if the stock price falls below a specified price) would not satisfy this requirement because, in that circumstance, the maximum number of shares deliverable under the contract is not known with certainty unless there is a stated maximum number of shares.</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i/>
          <w:i/>
          <w:sz w:val="24"/>
        </w:rPr>
      </w:pPr>
      <w:r>
        <w:rPr>
          <w:i/>
          <w:sz w:val="24"/>
        </w:rPr>
        <w:t>Issue 3—The contract requires a specific settlement method in the event of a change in control of the company, due to merger, consolidation, or otherwise.</w:t>
      </w:r>
    </w:p>
    <w:p>
      <w:pPr>
        <w:pStyle w:val="Normal"/>
        <w:tabs>
          <w:tab w:val="clear" w:pos="720"/>
          <w:tab w:val="left" w:pos="450" w:leader="none"/>
          <w:tab w:val="left" w:pos="990" w:leader="none"/>
        </w:tabs>
        <w:jc w:val="both"/>
        <w:rPr>
          <w:i/>
          <w:i/>
          <w:sz w:val="24"/>
        </w:rPr>
      </w:pPr>
      <w:r>
        <w:rPr>
          <w:i/>
          <w:sz w:val="24"/>
        </w:rPr>
      </w:r>
    </w:p>
    <w:p>
      <w:pPr>
        <w:pStyle w:val="Normal"/>
        <w:tabs>
          <w:tab w:val="clear" w:pos="720"/>
          <w:tab w:val="left" w:pos="450" w:leader="none"/>
          <w:tab w:val="left" w:pos="990" w:leader="none"/>
        </w:tabs>
        <w:jc w:val="both"/>
        <w:rPr>
          <w:sz w:val="24"/>
        </w:rPr>
      </w:pPr>
      <w:r>
        <w:rPr>
          <w:sz w:val="24"/>
        </w:rPr>
        <w:t>14.</w:t>
        <w:tab/>
        <w:t>The Task Force tentatively concluded that an event that causes a change in control of a company is not within the company's control and, therefore, if a contract requires net-cash settlement upon a change in control, the contract must be classified as an asset or a liability.  The Task Force also tentatively concluded that if a change in control provision requires that the counterparty receive, or permits the counterparty to deliver upon settlement, the same form of consideration as holders of the shares underlying the contract, permanent equity classification would not be precluded as a result of the change in control provision.  In that case, if the holders of the shares underlying the contract were to receive cash in the transaction causing the change in control, the counterparty to the contract could also receive cash based on the value of its position under the contract.  Similarly, a change in control provision could specify that if all stockholders receive stock of an acquiring company upon a change in control, the contract will be indexed to the shares of the purchaser (or issuer in a business combination accounted for as a pooling of interests) specified in the business combination agreement, without affecting classification of the contract.</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i/>
          <w:i/>
          <w:sz w:val="24"/>
        </w:rPr>
      </w:pPr>
      <w:r>
        <w:rPr>
          <w:i/>
          <w:sz w:val="24"/>
        </w:rPr>
        <w:t>Issue 4—The contract requires net-cash settlement in the circumstances described below.  The issue is whether a company controls the occurrence of the future event that would trigger net-cash settlement.</w:t>
      </w:r>
    </w:p>
    <w:p>
      <w:pPr>
        <w:pStyle w:val="Normal"/>
        <w:tabs>
          <w:tab w:val="clear" w:pos="720"/>
          <w:tab w:val="left" w:pos="450" w:leader="none"/>
          <w:tab w:val="left" w:pos="990" w:leader="none"/>
        </w:tabs>
        <w:jc w:val="both"/>
        <w:rPr>
          <w:i/>
          <w:i/>
          <w:sz w:val="24"/>
        </w:rPr>
      </w:pPr>
      <w:r>
        <w:rPr>
          <w:i/>
          <w:sz w:val="24"/>
        </w:rPr>
      </w:r>
    </w:p>
    <w:p>
      <w:pPr>
        <w:pStyle w:val="Normal"/>
        <w:tabs>
          <w:tab w:val="clear" w:pos="720"/>
          <w:tab w:val="left" w:pos="450" w:leader="none"/>
          <w:tab w:val="left" w:pos="990" w:leader="none"/>
        </w:tabs>
        <w:jc w:val="both"/>
        <w:rPr>
          <w:i/>
          <w:i/>
          <w:sz w:val="24"/>
        </w:rPr>
      </w:pPr>
      <w:r>
        <w:rPr>
          <w:i/>
          <w:sz w:val="24"/>
        </w:rPr>
        <w:t>Issue 4a—In the event of bankruptcy.</w:t>
      </w:r>
    </w:p>
    <w:p>
      <w:pPr>
        <w:pStyle w:val="Normal"/>
        <w:tabs>
          <w:tab w:val="clear" w:pos="720"/>
          <w:tab w:val="left" w:pos="450" w:leader="none"/>
          <w:tab w:val="left" w:pos="990" w:leader="none"/>
        </w:tabs>
        <w:jc w:val="both"/>
        <w:rPr>
          <w:i/>
          <w:i/>
          <w:sz w:val="24"/>
        </w:rPr>
      </w:pPr>
      <w:r>
        <w:rPr>
          <w:i/>
          <w:sz w:val="24"/>
        </w:rPr>
      </w:r>
    </w:p>
    <w:p>
      <w:pPr>
        <w:pStyle w:val="Normal"/>
        <w:tabs>
          <w:tab w:val="clear" w:pos="720"/>
          <w:tab w:val="left" w:pos="450" w:leader="none"/>
          <w:tab w:val="left" w:pos="990" w:leader="none"/>
        </w:tabs>
        <w:jc w:val="both"/>
        <w:rPr>
          <w:sz w:val="24"/>
        </w:rPr>
      </w:pPr>
      <w:r>
        <w:rPr>
          <w:sz w:val="24"/>
        </w:rPr>
        <w:t>15.</w:t>
        <w:tab/>
        <w:t>The Task Force tentatively concluded that to be classified as equity, a contract cannot give the counterparty any of the rights of a creditor in the event of the company's bankruptcy.  The Task Force observed that a statement in the contract that the language in the contract is not intended to convey rights senior to the claims of common stockholders in the event of the company's bankruptcy could satisfy this requirement.  The Task Force also recognized that because a breach of the contract by the company is within its control, the fact that the counterparty would have normal contract remedies in the event of such a breach does not preclude equity classification.</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sz w:val="24"/>
        </w:rPr>
      </w:pPr>
      <w:r>
        <w:rPr>
          <w:sz w:val="24"/>
        </w:rPr>
        <w:t>16.</w:t>
        <w:tab/>
        <w:t>As a result of the Task Force's tentative conclusion described in the preceding paragraph, a contract cannot be classified as equity if the counterparty's claim in bankruptcy receives higher priority than the claims of the holders of the stock underlying the contract.  The Task Force was advised that, generally, based on existing law, a net-share-settled derivative that the company has a right to settle in shares even upon termination could be net-share-settled in bankruptcy.  Further, if not net-share-settled, the claim of the counterparty would not have priority over those of the holders of the underlying stock, even if the contract specified cash settlement in the event of bankruptcy.  In federal bankruptcy proceedings, a debtor cannot be compelled to affirm an existing contract that would require it to pay cash to acquire its shares (which could be the case, for example, with a physically settled forward purchase or written put).  As a result, even if the contract requires the company (debtor) to pay cash to settle the contract, the company could not be required to do so in bankruptcy.</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sz w:val="24"/>
        </w:rPr>
      </w:pPr>
      <w:r>
        <w:rPr>
          <w:sz w:val="24"/>
        </w:rPr>
        <w:t>17.</w:t>
        <w:tab/>
        <w:t>Because of the complexity of federal bankruptcy law and related case law, and because of the differences between laws affecting derivative contracts in different states, the Task Force tentatively concluded that it is not possible to address all of the legal issues associated with the status of the contract and the claims of the counterparty in the event of bankruptcy.  As a result, the Task Force tentatively concluded that a contract provision requiring net-cash settlement in the event of bankruptcy would not preclude equity classification if it can be demonstrated that, notwithstanding the contract provisions, the counterparty's claims in bankruptcy proceedings in respect of the company (a) could be net-share settled or (b) would rank no higher than the claims of the holders of the stock underlying the contract.  The Task Force observed that it may be necessary for the company or counterparty to obtain an opinion from legal counsel specifying that the counterparty's claims in bankruptcy proceedings in respect of the company (a) could be net-share settled or (b) would rank no higher than the claims of the holders of the stock underlying the contract to satisfy this requirement.</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i/>
          <w:i/>
          <w:sz w:val="24"/>
        </w:rPr>
      </w:pPr>
      <w:r>
        <w:rPr>
          <w:i/>
          <w:sz w:val="24"/>
        </w:rPr>
        <w:t>Issue 4b—In the event of nationalization.</w:t>
      </w:r>
    </w:p>
    <w:p>
      <w:pPr>
        <w:pStyle w:val="Normal"/>
        <w:tabs>
          <w:tab w:val="clear" w:pos="720"/>
          <w:tab w:val="left" w:pos="450" w:leader="none"/>
          <w:tab w:val="left" w:pos="990" w:leader="none"/>
        </w:tabs>
        <w:jc w:val="both"/>
        <w:rPr>
          <w:i/>
          <w:i/>
          <w:sz w:val="24"/>
        </w:rPr>
      </w:pPr>
      <w:r>
        <w:rPr>
          <w:i/>
          <w:sz w:val="24"/>
        </w:rPr>
      </w:r>
    </w:p>
    <w:p>
      <w:pPr>
        <w:pStyle w:val="Normal"/>
        <w:tabs>
          <w:tab w:val="clear" w:pos="720"/>
          <w:tab w:val="left" w:pos="450" w:leader="none"/>
          <w:tab w:val="left" w:pos="990" w:leader="none"/>
        </w:tabs>
        <w:jc w:val="both"/>
        <w:rPr>
          <w:sz w:val="24"/>
        </w:rPr>
      </w:pPr>
      <w:r>
        <w:rPr>
          <w:sz w:val="24"/>
        </w:rPr>
        <w:t>18.</w:t>
        <w:tab/>
        <w:t>The Task Force was advised that, in the event of nationalization, cash compensation would be the consideration for the expropriated assets and, as a result, a counterparty to the contract could receive only cash, as is the case for a holder of the stock underlying the contract.  Because the contract counterparty would receive the same form of consideration as a stockholder, the Task Force tentatively concluded that a contract provision requiring net-cash settlement in the event of nationalization does not preclude equity classification of the contract.</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i/>
          <w:i/>
          <w:sz w:val="24"/>
        </w:rPr>
      </w:pPr>
      <w:r>
        <w:rPr>
          <w:i/>
          <w:sz w:val="24"/>
        </w:rPr>
        <w:t>Issue 5—The contract includes top-off or make-whole provisions.  The issue is whether the existence of this provision compels a company to net-cash settle a contract and, therefore, the contract should be classified as an asset or a liability.</w:t>
      </w:r>
    </w:p>
    <w:p>
      <w:pPr>
        <w:pStyle w:val="Normal"/>
        <w:tabs>
          <w:tab w:val="clear" w:pos="720"/>
          <w:tab w:val="left" w:pos="450" w:leader="none"/>
          <w:tab w:val="left" w:pos="990" w:leader="none"/>
        </w:tabs>
        <w:jc w:val="both"/>
        <w:rPr>
          <w:i/>
          <w:i/>
          <w:sz w:val="24"/>
        </w:rPr>
      </w:pPr>
      <w:r>
        <w:rPr>
          <w:i/>
          <w:sz w:val="24"/>
        </w:rPr>
      </w:r>
    </w:p>
    <w:p>
      <w:pPr>
        <w:pStyle w:val="Normal"/>
        <w:tabs>
          <w:tab w:val="clear" w:pos="720"/>
          <w:tab w:val="left" w:pos="450" w:leader="none"/>
          <w:tab w:val="left" w:pos="990" w:leader="none"/>
        </w:tabs>
        <w:jc w:val="both"/>
        <w:rPr>
          <w:sz w:val="24"/>
        </w:rPr>
      </w:pPr>
      <w:r>
        <w:rPr>
          <w:sz w:val="24"/>
        </w:rPr>
        <w:t>19.</w:t>
        <w:tab/>
        <w:t>Some contracts include top-off or make-whole provisions.  While the exact terms of such provisions vary, they generally are intended to reimburse the counterparty for any losses it incurs, or to transfer to the company any gains the counterparty recognizes on the difference between the settlement date value and the value received by the counterparty in subsequent sales of the securities within a specified time after the settlement date.  The Task Force tentatively concluded that if such a provision can be net-share settled, and the maximum number of shares that could be required to be delivered under the contract is fixed and less than the number of available authorized shares (authorized and unissued shares less the maximum number of shares that could be required to be delivered during the contract period under existing commitments as discussed in Issue 2), a top-off or make-whole provision would not preclude equity classification.  If those conditions are not met, equity classification would be precluded.</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i/>
          <w:i/>
          <w:sz w:val="24"/>
        </w:rPr>
      </w:pPr>
      <w:r>
        <w:rPr>
          <w:i/>
          <w:sz w:val="24"/>
        </w:rPr>
        <w:t>Issue 6—Some contracts may require the company to post collateral if certain events occur (such as a drop in the underlying stock price below a specified price).  The issue is whether a requirement to post collateral in certain circumstances requires that the contract be classified as an asset or a liability.</w:t>
      </w:r>
    </w:p>
    <w:p>
      <w:pPr>
        <w:pStyle w:val="Normal"/>
        <w:tabs>
          <w:tab w:val="clear" w:pos="720"/>
          <w:tab w:val="left" w:pos="450" w:leader="none"/>
          <w:tab w:val="left" w:pos="990" w:leader="none"/>
        </w:tabs>
        <w:jc w:val="both"/>
        <w:rPr>
          <w:i/>
          <w:i/>
          <w:sz w:val="24"/>
        </w:rPr>
      </w:pPr>
      <w:r>
        <w:rPr>
          <w:i/>
          <w:sz w:val="24"/>
        </w:rPr>
      </w:r>
    </w:p>
    <w:p>
      <w:pPr>
        <w:pStyle w:val="Normal"/>
        <w:tabs>
          <w:tab w:val="clear" w:pos="720"/>
          <w:tab w:val="left" w:pos="450" w:leader="none"/>
          <w:tab w:val="left" w:pos="990" w:leader="none"/>
        </w:tabs>
        <w:jc w:val="both"/>
        <w:rPr>
          <w:sz w:val="24"/>
        </w:rPr>
      </w:pPr>
      <w:r>
        <w:rPr>
          <w:sz w:val="24"/>
        </w:rPr>
        <w:t>20.</w:t>
        <w:tab/>
        <w:t>The Task Force tentatively concluded that a requirement to post collateral under any circumstances is inconsistent with the concept of equity and, therefore, would preclude equity classification of the contract.</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i/>
          <w:i/>
          <w:sz w:val="24"/>
        </w:rPr>
      </w:pPr>
      <w:r>
        <w:rPr>
          <w:i/>
          <w:sz w:val="24"/>
        </w:rPr>
        <w:t>Issue 7—The issue is whether contract classification should be reassessed throughout the life of the contract, and if so, how a change in classification should be accounted for.</w:t>
      </w:r>
    </w:p>
    <w:p>
      <w:pPr>
        <w:pStyle w:val="Normal"/>
        <w:tabs>
          <w:tab w:val="clear" w:pos="720"/>
          <w:tab w:val="left" w:pos="450" w:leader="none"/>
          <w:tab w:val="left" w:pos="990" w:leader="none"/>
        </w:tabs>
        <w:jc w:val="both"/>
        <w:rPr>
          <w:i/>
          <w:i/>
          <w:sz w:val="24"/>
        </w:rPr>
      </w:pPr>
      <w:r>
        <w:rPr>
          <w:i/>
          <w:sz w:val="24"/>
        </w:rPr>
      </w:r>
    </w:p>
    <w:p>
      <w:pPr>
        <w:pStyle w:val="Normal"/>
        <w:tabs>
          <w:tab w:val="clear" w:pos="720"/>
          <w:tab w:val="left" w:pos="450" w:leader="none"/>
          <w:tab w:val="left" w:pos="990" w:leader="none"/>
        </w:tabs>
        <w:jc w:val="both"/>
        <w:rPr>
          <w:sz w:val="24"/>
        </w:rPr>
      </w:pPr>
      <w:r>
        <w:rPr>
          <w:sz w:val="24"/>
        </w:rPr>
        <w:t>21.</w:t>
        <w:tab/>
        <w:t>The Task Force tentatively concluded that the classification of a contract should be reassessed at each balance sheet date.  If the classification required under this Issue changes as a result of events during the period (if, for example, as a result of voluntary issuances of stock the number of authorized but unissued shares is insufficient to satisfy the maximum number of shares that could be required to net-share settle the contract), the contract should be reclassified as of the date of the event that resulted in the reclassification.  If a contract is reclassified from permanent or temporary equity to an asset or a liability, the change in fair value of the contract between the date the contract was initially classified as equity (or if previously reclassified, the date the contract was last reclassified to equity) to the date of the reclassification to an asset or a liability should be accounted for as an adjustment to stockholders' equity.  If a contract is reclassified from an asset or a liability to equity, gains or losses recorded to account for the contract at fair value during the period that the contract was properly classified as an asset or a liability should not be reversed.  The Task Force also tentatively concluded that if a contract permits partial net-share settlement and the total notional amount of the contract no longer can be classified as permanent equity, any portion of the contract that could be net-share settled as of that balance sheet date would remain classified in permanent equity (that is, a portion of the contract could be classified as permanent equity and a portion of the contract could be classified as an asset, as a liability, or as temporary equity, as appropriate).  Task Force members observed that the tentative conclusions regarding reclassification, and partial reclassification, of a derivative under this Issue will be redeliberated at a future meeting.</w:t>
      </w:r>
    </w:p>
    <w:p>
      <w:pPr>
        <w:pStyle w:val="Normal"/>
        <w:tabs>
          <w:tab w:val="clear" w:pos="720"/>
          <w:tab w:val="left" w:pos="450" w:leader="none"/>
          <w:tab w:val="left" w:pos="990" w:leader="none"/>
        </w:tabs>
        <w:jc w:val="both"/>
        <w:rPr>
          <w:sz w:val="24"/>
        </w:rPr>
      </w:pPr>
      <w:r>
        <w:rPr>
          <w:sz w:val="24"/>
        </w:rPr>
      </w:r>
    </w:p>
    <w:p>
      <w:pPr>
        <w:pStyle w:val="Normal"/>
        <w:tabs>
          <w:tab w:val="clear" w:pos="720"/>
          <w:tab w:val="left" w:pos="450" w:leader="none"/>
          <w:tab w:val="left" w:pos="990" w:leader="none"/>
        </w:tabs>
        <w:jc w:val="both"/>
        <w:rPr>
          <w:b/>
          <w:sz w:val="24"/>
        </w:rPr>
      </w:pPr>
      <w:r>
        <w:rPr>
          <w:b/>
          <w:sz w:val="24"/>
        </w:rPr>
        <w:t>Transition</w:t>
      </w:r>
    </w:p>
    <w:p>
      <w:pPr>
        <w:pStyle w:val="BodyText"/>
        <w:rPr/>
      </w:pPr>
      <w:r>
        <w:rPr/>
        <w:t>22.</w:t>
        <w:tab/>
        <w:t>The Task Force tentatively concluded that any final consensuses on this Issue would be effective for all new contracts entered into after the date those consensuses are reached.  For contracts that exist on the date consensuses are reached, the consensuses should be applied on June 30, 2001, to those contracts that remain outstanding at June 30, 2001, based on the contract terms then in place. The effect of the application of the consensuses that require asset-liability classification for contracts would be calculated as of June 30, 2001, and presented on that date in a manner similar to a cumulative effect of a change in accounting principle as described in paragraph 20 of Opinion 20 (the pro forma disclosures described in paragraph 21 of Opinion 20 are not required).  The requirement in paragraph 27 of Opinion 28 that a cumulative effect of a change in accounting principles be applied and reported in the first quarter of a fiscal year does not apply to a change to adopt the consensuses.  Any reclassification of amounts from permanent equity to temporary equity as a result of application of the consensuses in this Issue would be made for balance sheets as of and subsequent to June 30, 2001.  Prior periods would not be restated.  The SEC Observer noted that registrants would be required to provide the disclosures required by SAB 74 for the financial statements filed prior to the period in which this change is adopted.</w:t>
      </w:r>
    </w:p>
    <w:p>
      <w:pPr>
        <w:pStyle w:val="Normal"/>
        <w:tabs>
          <w:tab w:val="clear" w:pos="720"/>
          <w:tab w:val="left" w:pos="450" w:leader="none"/>
          <w:tab w:val="left" w:pos="990" w:leader="none"/>
        </w:tabs>
        <w:jc w:val="both"/>
        <w:rPr>
          <w:color w:val="000000"/>
          <w:sz w:val="24"/>
        </w:rPr>
      </w:pPr>
      <w:r>
        <w:rPr>
          <w:color w:val="000000"/>
          <w:sz w:val="24"/>
        </w:rPr>
      </w:r>
    </w:p>
    <w:p>
      <w:pPr>
        <w:pStyle w:val="Normal"/>
        <w:tabs>
          <w:tab w:val="clear" w:pos="720"/>
          <w:tab w:val="left" w:pos="450" w:leader="none"/>
          <w:tab w:val="left" w:pos="990" w:leader="none"/>
        </w:tabs>
        <w:jc w:val="both"/>
        <w:rPr/>
      </w:pPr>
      <w:r>
        <w:rPr>
          <w:color w:val="000000"/>
          <w:sz w:val="24"/>
        </w:rPr>
        <w:t>23.</w:t>
        <w:tab/>
        <w:t xml:space="preserve">The Task Force also tentatively concluded that the transition for Issue 00-7 should be revised to conform to the transition requirements of this Issue.  However, </w:t>
      </w:r>
      <w:r>
        <w:rPr>
          <w:sz w:val="24"/>
        </w:rPr>
        <w:t xml:space="preserve">Task Force members observed that the tentative conclusions regarding transition under this Issue and Issue 00-7 will be redeliberated at a future meeting.  </w:t>
      </w:r>
      <w:r>
        <w:rPr>
          <w:color w:val="000000"/>
          <w:sz w:val="24"/>
        </w:rPr>
        <w:t>The Task Force also asked the FASB staff to codify the consensuses from Issue 96-13, EITF Issue No. 99-3, "Application of Issue No. 96-13 to Derivative Instruments with Multiple Settlement Alternatives," and Issue 00-7 in the abstract for this Issue.</w:t>
      </w:r>
    </w:p>
    <w:p>
      <w:pPr>
        <w:pStyle w:val="Normal"/>
        <w:tabs>
          <w:tab w:val="clear" w:pos="720"/>
          <w:tab w:val="left" w:pos="450" w:leader="none"/>
          <w:tab w:val="left" w:pos="990" w:leader="none"/>
        </w:tabs>
        <w:jc w:val="both"/>
        <w:rPr>
          <w:color w:val="000000"/>
          <w:sz w:val="24"/>
        </w:rPr>
      </w:pPr>
      <w:r>
        <w:rPr>
          <w:color w:val="000000"/>
          <w:sz w:val="24"/>
        </w:rPr>
      </w:r>
    </w:p>
    <w:p>
      <w:pPr>
        <w:pStyle w:val="Normal"/>
        <w:tabs>
          <w:tab w:val="clear" w:pos="720"/>
          <w:tab w:val="left" w:pos="450" w:leader="none"/>
          <w:tab w:val="left" w:pos="990" w:leader="none"/>
        </w:tabs>
        <w:jc w:val="both"/>
        <w:rPr>
          <w:b/>
          <w:sz w:val="24"/>
        </w:rPr>
      </w:pPr>
      <w:r>
        <w:rPr>
          <w:b/>
          <w:sz w:val="24"/>
        </w:rPr>
        <w:t>Status</w:t>
      </w:r>
    </w:p>
    <w:p>
      <w:pPr>
        <w:pStyle w:val="Normal"/>
        <w:tabs>
          <w:tab w:val="clear" w:pos="720"/>
          <w:tab w:val="left" w:pos="450" w:leader="none"/>
          <w:tab w:val="left" w:pos="990" w:leader="none"/>
        </w:tabs>
        <w:jc w:val="both"/>
        <w:rPr>
          <w:sz w:val="24"/>
        </w:rPr>
      </w:pPr>
      <w:r>
        <w:rPr>
          <w:sz w:val="24"/>
        </w:rPr>
        <w:t>24.</w:t>
        <w:tab/>
        <w:t>Further discussion is expected at a future meeting.</w:t>
      </w:r>
    </w:p>
    <w:p>
      <w:pPr>
        <w:pStyle w:val="Normal"/>
        <w:tabs>
          <w:tab w:val="clear" w:pos="720"/>
          <w:tab w:val="left" w:pos="450" w:leader="none"/>
          <w:tab w:val="left" w:pos="990" w:leader="none"/>
        </w:tabs>
        <w:jc w:val="both"/>
        <w:rPr>
          <w:sz w:val="24"/>
        </w:rPr>
      </w:pPr>
      <w:r>
        <w:rPr>
          <w:sz w:val="24"/>
        </w:rPr>
      </w:r>
    </w:p>
    <w:p>
      <w:pPr>
        <w:pStyle w:val="Normal"/>
        <w:rPr>
          <w:sz w:val="24"/>
        </w:rPr>
      </w:pPr>
      <w:r>
        <w:rPr>
          <w:sz w:val="24"/>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t>1</w:t>
      </w:r>
      <w:r>
        <w:rPr/>
        <w:t xml:space="preserve"> </w:t>
      </w:r>
      <w:r>
        <w:rPr/>
        <w:t>It is not necessary to subtract anticipated voluntary share issuances from the number of authorized but unissued shares because such issuances are, by definition, within the control of the company.  However, such voluntary issuances (when they actually occur) would be considered in the periodic reassessment of classification as described in Issue 7, below.</w:t>
      </w:r>
    </w:p>
  </w:footnote>
</w:footnotes>
</file>

<file path=word/settings.xml><?xml version="1.0" encoding="utf-8"?>
<w:settings xmlns:w="http://schemas.openxmlformats.org/wordprocessingml/2006/main">
  <w:zoom w:percent="73"/>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9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2000-08-17T18:04:00Z</dcterms:created>
  <dc:creator>rsiurek</dc:creator>
  <dc:description/>
  <dc:language>en-CA</dc:language>
  <cp:lastModifiedBy>rsiurek</cp:lastModifiedBy>
  <dcterms:modified xsi:type="dcterms:W3CDTF">2000-08-17T18:04:00Z</dcterms:modified>
  <cp:revision>2</cp:revision>
  <dc:subject/>
  <dc:title>Issue No</dc:title>
</cp:coreProperties>
</file>