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FIRST SUPPLEMENTAL AGREEMENT TO THE</w:t>
      </w:r>
    </w:p>
    <w:p>
      <w:pPr>
        <w:pStyle w:val="Normal"/>
        <w:ind w:end="540"/>
        <w:jc w:val="center"/>
        <w:rPr>
          <w:b/>
          <w:bCs/>
          <w:lang w:val="en-GB"/>
        </w:rPr>
      </w:pPr>
      <w:r>
        <w:rPr>
          <w:b/>
          <w:bCs/>
          <w:lang w:val="en-GB"/>
        </w:rPr>
      </w:r>
    </w:p>
    <w:p>
      <w:pPr>
        <w:pStyle w:val="Normal"/>
        <w:ind w:end="540"/>
        <w:jc w:val="center"/>
        <w:rPr>
          <w:b/>
          <w:bCs/>
          <w:lang w:val="en-GB"/>
        </w:rPr>
      </w:pPr>
      <w:r>
        <w:rPr>
          <w:b/>
          <w:bCs/>
          <w:lang w:val="en-GB"/>
        </w:rPr>
        <w:t>AGENCY AGREEMENT</w:t>
      </w:r>
    </w:p>
    <w:p>
      <w:pPr>
        <w:pStyle w:val="Normal"/>
        <w:ind w:end="540"/>
        <w:jc w:val="center"/>
        <w:rPr>
          <w:b/>
          <w:bCs/>
          <w:lang w:val="en-GB"/>
        </w:rPr>
      </w:pPr>
      <w:r>
        <w:rPr>
          <w:b/>
          <w:bCs/>
          <w:lang w:val="en-GB"/>
        </w:rPr>
      </w:r>
    </w:p>
    <w:p>
      <w:pPr>
        <w:pStyle w:val="Normal"/>
        <w:ind w:end="540"/>
        <w:jc w:val="center"/>
        <w:rPr>
          <w:b/>
          <w:bCs/>
          <w:lang w:val="en-GB"/>
        </w:rPr>
      </w:pPr>
      <w:r>
        <w:rPr>
          <w:b/>
          <w:bCs/>
          <w:lang w:val="en-GB"/>
        </w:rPr>
        <w:t>DATED AS OF NOVEMBER 21, 2000</w:t>
      </w:r>
    </w:p>
    <w:p>
      <w:pPr>
        <w:pStyle w:val="Normal"/>
        <w:ind w:end="540"/>
        <w:jc w:val="center"/>
        <w:rPr>
          <w:b/>
          <w:bCs/>
          <w:lang w:val="en-GB"/>
        </w:rPr>
      </w:pPr>
      <w:r>
        <w:rPr>
          <w:b/>
          <w:bCs/>
          <w:lang w:val="en-GB"/>
        </w:rPr>
      </w:r>
    </w:p>
    <w:p>
      <w:pPr>
        <w:pStyle w:val="Normal"/>
        <w:ind w:end="540"/>
        <w:jc w:val="center"/>
        <w:rPr>
          <w:b/>
          <w:bCs/>
          <w:lang w:val="en-GB"/>
        </w:rPr>
      </w:pPr>
      <w:r>
        <w:rPr>
          <w:b/>
          <w:bCs/>
          <w:lang w:val="en-GB"/>
        </w:rPr>
        <w:t>BETWEEN</w:t>
      </w:r>
    </w:p>
    <w:p>
      <w:pPr>
        <w:pStyle w:val="Normal"/>
        <w:ind w:end="540"/>
        <w:jc w:val="center"/>
        <w:rPr>
          <w:b/>
          <w:bCs/>
          <w:lang w:val="en-GB"/>
        </w:rPr>
      </w:pPr>
      <w:r>
        <w:rPr>
          <w:b/>
          <w:bCs/>
          <w:lang w:val="en-GB"/>
        </w:rPr>
      </w:r>
    </w:p>
    <w:p>
      <w:pPr>
        <w:pStyle w:val="Normal"/>
        <w:ind w:end="540"/>
        <w:jc w:val="center"/>
        <w:rPr>
          <w:b/>
          <w:bCs/>
          <w:lang w:val="en-GB"/>
        </w:rPr>
      </w:pPr>
      <w:r>
        <w:rPr>
          <w:b/>
          <w:bCs/>
          <w:lang w:val="en-GB"/>
        </w:rPr>
        <w:t>ECT INVESTMENTS INC.</w:t>
      </w:r>
    </w:p>
    <w:p>
      <w:pPr>
        <w:pStyle w:val="Normal"/>
        <w:ind w:end="540"/>
        <w:jc w:val="center"/>
        <w:rPr>
          <w:b/>
          <w:bCs/>
          <w:lang w:val="en-GB"/>
        </w:rPr>
      </w:pPr>
      <w:r>
        <w:rPr>
          <w:b/>
          <w:bCs/>
          <w:lang w:val="en-GB"/>
        </w:rPr>
      </w:r>
    </w:p>
    <w:p>
      <w:pPr>
        <w:pStyle w:val="Normal"/>
        <w:ind w:end="540"/>
        <w:jc w:val="center"/>
        <w:rPr>
          <w:b/>
          <w:bCs/>
          <w:lang w:val="en-GB"/>
        </w:rPr>
      </w:pPr>
      <w:r>
        <w:rPr>
          <w:b/>
          <w:bCs/>
          <w:lang w:val="en-GB"/>
        </w:rPr>
        <w:t>AND</w:t>
      </w:r>
    </w:p>
    <w:p>
      <w:pPr>
        <w:pStyle w:val="Normal"/>
        <w:ind w:end="540"/>
        <w:jc w:val="center"/>
        <w:rPr>
          <w:b/>
          <w:bCs/>
          <w:lang w:val="en-GB"/>
        </w:rPr>
      </w:pPr>
      <w:r>
        <w:rPr>
          <w:b/>
          <w:bCs/>
          <w:lang w:val="en-GB"/>
        </w:rPr>
      </w:r>
    </w:p>
    <w:p>
      <w:pPr>
        <w:pStyle w:val="Normal"/>
        <w:ind w:end="540"/>
        <w:jc w:val="center"/>
        <w:rPr>
          <w:lang w:val="en-GB"/>
        </w:rPr>
      </w:pPr>
      <w:r>
        <w:rPr>
          <w:b/>
          <w:bCs/>
          <w:lang w:val="en-GB"/>
        </w:rPr>
        <w:t>ENRON INVESTMENT SERVICES LIMITED</w:t>
      </w:r>
    </w:p>
    <w:p>
      <w:pPr>
        <w:pStyle w:val="Normal"/>
        <w:ind w:end="540"/>
        <w:rPr>
          <w:lang w:val="en-GB"/>
        </w:rPr>
      </w:pPr>
      <w:r>
        <w:rPr>
          <w:lang w:val="en-GB"/>
        </w:rPr>
      </w:r>
    </w:p>
    <w:p>
      <w:pPr>
        <w:pStyle w:val="Normal"/>
        <w:ind w:end="540"/>
        <w:rPr>
          <w:lang w:val="en-GB"/>
        </w:rPr>
      </w:pPr>
      <w:r>
        <w:rPr>
          <w:lang w:val="en-GB"/>
        </w:rPr>
      </w:r>
    </w:p>
    <w:p>
      <w:pPr>
        <w:pStyle w:val="BodyText"/>
        <w:rPr/>
      </w:pPr>
      <w:r>
        <w:rPr/>
        <w:t>THIS AGREEMENT is supplemental to the Agency Agreement dated as of November 21, 2000 between ECT Investments Inc. and Enron Investment Services Limited.</w:t>
      </w:r>
    </w:p>
    <w:p>
      <w:pPr>
        <w:pStyle w:val="Normal"/>
        <w:ind w:end="540"/>
        <w:rPr>
          <w:lang w:val="en-GB"/>
        </w:rPr>
      </w:pPr>
      <w:r>
        <w:rPr>
          <w:lang w:val="en-GB"/>
        </w:rPr>
      </w:r>
    </w:p>
    <w:p>
      <w:pPr>
        <w:pStyle w:val="Normal"/>
        <w:numPr>
          <w:ilvl w:val="0"/>
          <w:numId w:val="2"/>
        </w:numPr>
        <w:ind w:hanging="720" w:start="720" w:end="540"/>
        <w:jc w:val="both"/>
        <w:rPr>
          <w:lang w:val="en-GB"/>
        </w:rPr>
      </w:pPr>
      <w:r>
        <w:rPr>
          <w:u w:val="single"/>
          <w:lang w:val="en-GB"/>
        </w:rPr>
        <w:t>Background.</w:t>
      </w:r>
      <w:r>
        <w:rPr>
          <w:lang w:val="en-GB"/>
        </w:rPr>
        <w:t xml:space="preserve">  ECT INVESTMENTS INC., a company duly registered and existing in accordance with the laws of Delaware with its principal address at: 1400 Smith Street, Houston, Texas 77002 (hereinafter the “Principal”) entered an Agency Agreement dated as of November 21, 2000 (hereinafter the “Agency Agreement”) with ENRON INVESTMENT SERVICES LIMITED, a limited liability company duly registered and existing in accordance with the laws of the United Kingdom with its principal address at:  Enron House, 40 Grosvenor Place, SW1X 7EN (hereinafter the “Agent”).  Clause 11 of the Agency Agreement provided that the compensation provision was effective from 1 January 2001.</w:t>
      </w:r>
    </w:p>
    <w:p>
      <w:pPr>
        <w:pStyle w:val="Normal"/>
        <w:ind w:end="540"/>
        <w:jc w:val="both"/>
        <w:rPr>
          <w:u w:val="single"/>
          <w:lang w:val="en-GB"/>
        </w:rPr>
      </w:pPr>
      <w:r>
        <w:rPr>
          <w:u w:val="single"/>
          <w:lang w:val="en-GB"/>
        </w:rPr>
      </w:r>
    </w:p>
    <w:p>
      <w:pPr>
        <w:pStyle w:val="BodyTextIndent"/>
        <w:numPr>
          <w:ilvl w:val="0"/>
          <w:numId w:val="2"/>
        </w:numPr>
        <w:ind w:hanging="720" w:start="720" w:end="540"/>
        <w:jc w:val="both"/>
        <w:rPr/>
      </w:pPr>
      <w:r>
        <w:rPr>
          <w:u w:val="single"/>
        </w:rPr>
        <w:t>Amendment.</w:t>
      </w:r>
      <w:r>
        <w:rPr/>
        <w:t xml:space="preserve">  The Agency Agreement was based upon certain expectations of business being conducted.  As the Agent has incurred delays in providing its services under the Agency Agreement, the Principal and the Agent hereby agree that the 1 January 2001 effective date under Clause 11 of the Agency Agreement is amended to provide for an effective date of 1 July 2001.  The parties further agree that all costs from 1 January 2001 to 1 July 2001 will be incurred directly by the Principal.</w:t>
      </w:r>
    </w:p>
    <w:p>
      <w:pPr>
        <w:pStyle w:val="BodyTextIndent"/>
        <w:ind w:hanging="0" w:start="0" w:end="540"/>
        <w:jc w:val="both"/>
        <w:rPr/>
      </w:pPr>
      <w:r>
        <w:rPr/>
      </w:r>
    </w:p>
    <w:p>
      <w:pPr>
        <w:pStyle w:val="BodyTextIndent"/>
        <w:ind w:end="540"/>
        <w:jc w:val="both"/>
        <w:rPr/>
      </w:pPr>
      <w:r>
        <w:rPr/>
      </w:r>
    </w:p>
    <w:tbl>
      <w:tblPr>
        <w:tblW w:w="10632" w:type="dxa"/>
        <w:jc w:val="start"/>
        <w:tblInd w:w="0" w:type="dxa"/>
        <w:tblLayout w:type="fixed"/>
        <w:tblCellMar>
          <w:top w:w="0" w:type="dxa"/>
          <w:start w:w="108" w:type="dxa"/>
          <w:bottom w:w="0" w:type="dxa"/>
          <w:end w:w="108" w:type="dxa"/>
        </w:tblCellMar>
      </w:tblPr>
      <w:tblGrid>
        <w:gridCol w:w="5508"/>
        <w:gridCol w:w="5124"/>
      </w:tblGrid>
      <w:tr>
        <w:trPr/>
        <w:tc>
          <w:tcPr>
            <w:tcW w:w="5508" w:type="dxa"/>
            <w:tcBorders/>
          </w:tcPr>
          <w:p>
            <w:pPr>
              <w:pStyle w:val="BodyTextIndent"/>
              <w:ind w:hanging="0" w:start="0" w:end="540"/>
              <w:jc w:val="both"/>
              <w:rPr/>
            </w:pPr>
            <w:r>
              <w:rPr/>
              <w:t>ENRON INVESTMENT SERVICES LIMITED</w:t>
            </w:r>
          </w:p>
        </w:tc>
        <w:tc>
          <w:tcPr>
            <w:tcW w:w="5124" w:type="dxa"/>
            <w:tcBorders/>
          </w:tcPr>
          <w:p>
            <w:pPr>
              <w:pStyle w:val="BodyTextIndent"/>
              <w:ind w:hanging="0" w:start="0" w:end="540"/>
              <w:jc w:val="both"/>
              <w:rPr/>
            </w:pPr>
            <w:r>
              <w:rPr/>
              <w:t>ECT INVESTMENTS INC.</w:t>
            </w:r>
          </w:p>
        </w:tc>
      </w:tr>
      <w:tr>
        <w:trPr/>
        <w:tc>
          <w:tcPr>
            <w:tcW w:w="5508" w:type="dxa"/>
            <w:tcBorders/>
          </w:tcPr>
          <w:p>
            <w:pPr>
              <w:pStyle w:val="BodyTextIndent"/>
              <w:snapToGrid w:val="false"/>
              <w:ind w:hanging="0" w:start="0" w:end="540"/>
              <w:jc w:val="both"/>
              <w:rPr/>
            </w:pPr>
            <w:r>
              <w:rPr/>
            </w:r>
          </w:p>
          <w:p>
            <w:pPr>
              <w:pStyle w:val="BodyTextIndent"/>
              <w:ind w:hanging="0" w:start="0" w:end="540"/>
              <w:jc w:val="both"/>
              <w:rPr/>
            </w:pPr>
            <w:r>
              <w:rPr/>
              <w:t>______________________________________</w:t>
            </w:r>
          </w:p>
          <w:p>
            <w:pPr>
              <w:pStyle w:val="BodyTextIndent"/>
              <w:ind w:hanging="0" w:start="0" w:end="540"/>
              <w:jc w:val="both"/>
              <w:rPr/>
            </w:pPr>
            <w:r>
              <w:rPr/>
              <w:t>Michael Brown</w:t>
            </w:r>
          </w:p>
          <w:p>
            <w:pPr>
              <w:pStyle w:val="BodyTextIndent"/>
              <w:ind w:hanging="0" w:start="0" w:end="540"/>
              <w:jc w:val="both"/>
              <w:rPr/>
            </w:pPr>
            <w:r>
              <w:rPr/>
              <w:t>Director</w:t>
            </w:r>
          </w:p>
        </w:tc>
        <w:tc>
          <w:tcPr>
            <w:tcW w:w="5124" w:type="dxa"/>
            <w:tcBorders/>
          </w:tcPr>
          <w:p>
            <w:pPr>
              <w:pStyle w:val="BodyTextIndent"/>
              <w:snapToGrid w:val="false"/>
              <w:ind w:hanging="0" w:start="0" w:end="540"/>
              <w:jc w:val="both"/>
              <w:rPr/>
            </w:pPr>
            <w:r>
              <w:rPr/>
            </w:r>
          </w:p>
          <w:p>
            <w:pPr>
              <w:pStyle w:val="BodyTextIndent"/>
              <w:ind w:hanging="0" w:start="0" w:end="540"/>
              <w:jc w:val="both"/>
              <w:rPr/>
            </w:pPr>
            <w:r>
              <w:rPr/>
              <w:t>________________________________</w:t>
            </w:r>
          </w:p>
          <w:p>
            <w:pPr>
              <w:pStyle w:val="BodyTextIndent"/>
              <w:ind w:hanging="0" w:start="0" w:end="540"/>
              <w:jc w:val="both"/>
              <w:rPr/>
            </w:pPr>
            <w:r>
              <w:rPr/>
              <w:t>Gary Hickerson</w:t>
            </w:r>
          </w:p>
          <w:p>
            <w:pPr>
              <w:pStyle w:val="BodyTextIndent"/>
              <w:ind w:hanging="0" w:start="0" w:end="540"/>
              <w:jc w:val="both"/>
              <w:rPr/>
            </w:pPr>
            <w:r>
              <w:rPr/>
              <w:t>Managing Director</w:t>
            </w:r>
          </w:p>
        </w:tc>
      </w:tr>
      <w:tr>
        <w:trPr/>
        <w:tc>
          <w:tcPr>
            <w:tcW w:w="5508" w:type="dxa"/>
            <w:tcBorders/>
          </w:tcPr>
          <w:p>
            <w:pPr>
              <w:pStyle w:val="BodyTextIndent"/>
              <w:snapToGrid w:val="false"/>
              <w:ind w:hanging="0" w:start="0" w:end="540"/>
              <w:jc w:val="both"/>
              <w:rPr/>
            </w:pPr>
            <w:r>
              <w:rPr/>
            </w:r>
          </w:p>
          <w:p>
            <w:pPr>
              <w:pStyle w:val="BodyTextIndent"/>
              <w:ind w:hanging="0" w:start="0" w:end="540"/>
              <w:jc w:val="both"/>
              <w:rPr/>
            </w:pPr>
            <w:r>
              <w:rPr/>
              <w:t>Date  _________________</w:t>
            </w:r>
          </w:p>
        </w:tc>
        <w:tc>
          <w:tcPr>
            <w:tcW w:w="5124" w:type="dxa"/>
            <w:tcBorders/>
          </w:tcPr>
          <w:p>
            <w:pPr>
              <w:pStyle w:val="BodyTextIndent"/>
              <w:snapToGrid w:val="false"/>
              <w:ind w:hanging="0" w:start="0" w:end="540"/>
              <w:jc w:val="both"/>
              <w:rPr/>
            </w:pPr>
            <w:r>
              <w:rPr/>
            </w:r>
          </w:p>
          <w:p>
            <w:pPr>
              <w:pStyle w:val="BodyTextIndent"/>
              <w:ind w:hanging="0" w:start="0" w:end="540"/>
              <w:jc w:val="both"/>
              <w:rPr/>
            </w:pPr>
            <w:r>
              <w:rPr/>
              <w:t>Date  _________________</w:t>
            </w:r>
          </w:p>
        </w:tc>
      </w:tr>
    </w:tbl>
    <w:p>
      <w:pPr>
        <w:pStyle w:val="BodyTextIndent"/>
        <w:ind w:end="540"/>
        <w:jc w:val="both"/>
        <w:rPr/>
      </w:pPr>
      <w:r>
        <w:rPr/>
      </w:r>
    </w:p>
    <w:sectPr>
      <w:type w:val="nextPage"/>
      <w:pgSz w:w="12240" w:h="15840"/>
      <w:pgMar w:left="1260" w:right="108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0" w:end="540"/>
      <w:outlineLvl w:val="0"/>
    </w:pPr>
    <w:rPr>
      <w:b/>
      <w:bCs/>
      <w:lang w:val="en-G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ind w:hanging="0" w:start="0" w:end="540"/>
      <w:jc w:val="center"/>
    </w:pPr>
    <w:rPr>
      <w:b/>
      <w:bCs/>
      <w:lang w:val="en-GB"/>
    </w:rPr>
  </w:style>
  <w:style w:type="paragraph" w:styleId="BodyText">
    <w:name w:val="Body Text"/>
    <w:basedOn w:val="Normal"/>
    <w:pPr>
      <w:ind w:hanging="0" w:start="0" w:end="5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lang w:val="en-G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2001-07-27T12:09:00Z</dcterms:created>
  <dc:creator>Stephen Jacobson</dc:creator>
  <dc:description/>
  <dc:language>en-CA</dc:language>
  <cp:lastModifiedBy>Stephen Jacobson</cp:lastModifiedBy>
  <cp:lastPrinted>2001-07-27T14:46:00Z</cp:lastPrinted>
  <dcterms:modified xsi:type="dcterms:W3CDTF">2001-07-27T12:09:00Z</dcterms:modified>
  <cp:revision>2</cp:revision>
  <dc:subject/>
  <dc:title>FIRST AMENDMENT TO</dc:title>
</cp:coreProperties>
</file>