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Investment Partners Company Incentive Plan</w:t>
      </w:r>
    </w:p>
    <w:p>
      <w:pPr>
        <w:pStyle w:val="Normal"/>
        <w:rPr>
          <w:b/>
          <w:bCs/>
        </w:rPr>
      </w:pPr>
      <w:r>
        <w:rPr>
          <w:b/>
          <w:bCs/>
        </w:rPr>
      </w:r>
    </w:p>
    <w:p>
      <w:pPr>
        <w:pStyle w:val="Normal"/>
        <w:rPr>
          <w:b/>
          <w:bCs/>
        </w:rPr>
      </w:pPr>
      <w:r>
        <w:rPr>
          <w:b/>
          <w:bCs/>
        </w:rPr>
      </w:r>
    </w:p>
    <w:p>
      <w:pPr>
        <w:pStyle w:val="Normal"/>
        <w:rPr/>
      </w:pPr>
      <w:r>
        <w:rPr>
          <w:b/>
          <w:bCs/>
        </w:rPr>
        <w:t>Plan Name:</w:t>
      </w:r>
      <w:r>
        <w:rPr/>
        <w:tab/>
        <w:t>Enron Investment Partners Company Incentive Plan</w:t>
      </w:r>
    </w:p>
    <w:p>
      <w:pPr>
        <w:pStyle w:val="Normal"/>
        <w:rPr/>
      </w:pPr>
      <w:r>
        <w:rPr>
          <w:b/>
          <w:bCs/>
        </w:rPr>
        <w:t>Plan Date:</w:t>
      </w:r>
      <w:r>
        <w:rPr/>
        <w:tab/>
        <w:t>Effective January 1, 2000</w:t>
      </w:r>
    </w:p>
    <w:p>
      <w:pPr>
        <w:pStyle w:val="Normal"/>
        <w:rPr/>
      </w:pPr>
      <w:r>
        <w:rPr>
          <w:b/>
          <w:bCs/>
        </w:rPr>
        <w:t>Plan Participants</w:t>
      </w:r>
      <w:r>
        <w:rPr/>
        <w:t>:</w:t>
        <w:tab/>
        <w:t>Various members of the original EEDC company (11 people total)</w:t>
      </w:r>
    </w:p>
    <w:p>
      <w:pPr>
        <w:pStyle w:val="Normal"/>
        <w:rPr>
          <w:b/>
          <w:bCs/>
        </w:rPr>
      </w:pPr>
      <w:r>
        <w:rPr>
          <w:b/>
          <w:bCs/>
        </w:rPr>
        <w:t>Plan Participants still active today and % participation in Plan:</w:t>
      </w:r>
    </w:p>
    <w:p>
      <w:pPr>
        <w:pStyle w:val="Normal"/>
        <w:numPr>
          <w:ilvl w:val="0"/>
          <w:numId w:val="1"/>
        </w:numPr>
        <w:rPr/>
      </w:pPr>
      <w:r>
        <w:rPr/>
        <w:t>Gene Humphrey –Chairman and CEO EIP:  scheduled to retire early 2002 (15%)</w:t>
      </w:r>
    </w:p>
    <w:p>
      <w:pPr>
        <w:pStyle w:val="Normal"/>
        <w:numPr>
          <w:ilvl w:val="0"/>
          <w:numId w:val="1"/>
        </w:numPr>
        <w:rPr/>
      </w:pPr>
      <w:r>
        <w:rPr/>
        <w:t>Barbara Paige – VP:  currently employed by Principal Investment group (6%)</w:t>
      </w:r>
    </w:p>
    <w:p>
      <w:pPr>
        <w:pStyle w:val="Normal"/>
        <w:numPr>
          <w:ilvl w:val="0"/>
          <w:numId w:val="1"/>
        </w:numPr>
        <w:rPr/>
      </w:pPr>
      <w:r>
        <w:rPr/>
        <w:t>Bert Frazier – Exec. Asst.:  may possibly also retire when Gene retires (1.5%)</w:t>
      </w:r>
    </w:p>
    <w:p>
      <w:pPr>
        <w:pStyle w:val="Normal"/>
        <w:numPr>
          <w:ilvl w:val="0"/>
          <w:numId w:val="1"/>
        </w:numPr>
        <w:rPr/>
      </w:pPr>
      <w:r>
        <w:rPr/>
        <w:t>Adriana Cortes – Admin: active, has transferred to EIM (1.25%)</w:t>
      </w:r>
    </w:p>
    <w:p>
      <w:pPr>
        <w:pStyle w:val="Normal"/>
        <w:numPr>
          <w:ilvl w:val="0"/>
          <w:numId w:val="1"/>
        </w:numPr>
        <w:rPr/>
      </w:pPr>
      <w:r>
        <w:rPr/>
        <w:t>Fabricio Soares – Manager:  active, has transferred to EGM (3%)</w:t>
      </w:r>
    </w:p>
    <w:p>
      <w:pPr>
        <w:pStyle w:val="Normal"/>
        <w:numPr>
          <w:ilvl w:val="0"/>
          <w:numId w:val="1"/>
        </w:numPr>
        <w:rPr/>
      </w:pPr>
      <w:r>
        <w:rPr/>
        <w:t>John Godbold – Director:  currently in Redeployment until 11/15/01 (5%)</w:t>
      </w:r>
    </w:p>
    <w:p>
      <w:pPr>
        <w:pStyle w:val="Normal"/>
        <w:numPr>
          <w:ilvl w:val="0"/>
          <w:numId w:val="1"/>
        </w:numPr>
        <w:rPr/>
      </w:pPr>
      <w:r>
        <w:rPr/>
        <w:t>Lillia Roman – Sr. Adm: currently in Redeployment until 11/15/01 (1.5%)</w:t>
      </w:r>
    </w:p>
    <w:p>
      <w:pPr>
        <w:pStyle w:val="Normal"/>
        <w:numPr>
          <w:ilvl w:val="0"/>
          <w:numId w:val="1"/>
        </w:numPr>
        <w:rPr/>
      </w:pPr>
      <w:r>
        <w:rPr/>
        <w:t>Krysti Knight – Sr. Specialist: currently in Redeployment until 11/15/01 (.625%)</w:t>
      </w:r>
    </w:p>
    <w:p>
      <w:pPr>
        <w:pStyle w:val="Normal"/>
        <w:rPr/>
      </w:pPr>
      <w:r>
        <w:rPr/>
      </w:r>
    </w:p>
    <w:p>
      <w:pPr>
        <w:pStyle w:val="Normal"/>
        <w:rPr/>
      </w:pPr>
      <w:r>
        <w:rPr/>
        <w:t xml:space="preserve">The total allocation for the original 11 participants equated to 58.875% use of the Pool. The remaining above participants equates to 33.875% use of the Pool. </w:t>
      </w:r>
    </w:p>
    <w:p>
      <w:pPr>
        <w:pStyle w:val="Normal"/>
        <w:rPr>
          <w:color w:val="FF0000"/>
        </w:rPr>
      </w:pPr>
      <w:r>
        <w:rPr>
          <w:color w:val="FF0000"/>
        </w:rPr>
      </w:r>
    </w:p>
    <w:p>
      <w:pPr>
        <w:pStyle w:val="Normal"/>
        <w:rPr/>
      </w:pPr>
      <w:r>
        <w:rPr>
          <w:b/>
          <w:bCs/>
        </w:rPr>
        <w:t>Plan Payout Features:</w:t>
        <w:tab/>
      </w:r>
      <w:r>
        <w:rPr/>
        <w:t xml:space="preserve">Incentive awards are funded via a Carried Interest Pool, which is created with Return On Invested Capital in excess of a 10% threshold (the first 10% ROIC is to be allocated to the Regular Limited Partners).  Twenty percent of any ROIC in excess of the 10% threshold is then allocated to EEDC in a Carried Interest Pool.  </w:t>
      </w:r>
      <w:r>
        <w:rPr>
          <w:color w:val="FF0000"/>
        </w:rPr>
        <w:t xml:space="preserve">Any investments made by Enron Corporation are to be excluded from the calculation of the Carried Interest Pool allocated to EEDC.  </w:t>
      </w:r>
      <w:r>
        <w:rPr/>
        <w:t xml:space="preserve">The remaining 80% of returns in excess of the 10% threshold is then allocated back to the Regular Limited Partners. </w:t>
      </w:r>
    </w:p>
    <w:p>
      <w:pPr>
        <w:pStyle w:val="Normal"/>
        <w:rPr/>
      </w:pPr>
      <w:r>
        <w:rPr/>
      </w:r>
    </w:p>
    <w:p>
      <w:pPr>
        <w:pStyle w:val="Normal"/>
        <w:rPr/>
      </w:pPr>
      <w:r>
        <w:rPr>
          <w:b/>
          <w:bCs/>
        </w:rPr>
        <w:t>EIP Investment Fund Size:</w:t>
      </w:r>
      <w:r>
        <w:rPr/>
        <w:tab/>
        <w:t xml:space="preserve">  EIP’s original goal was to raise $50M.  Final goal attained was $38.25M, $20M of which was invested by Enron.</w:t>
      </w:r>
    </w:p>
    <w:p>
      <w:pPr>
        <w:pStyle w:val="Normal"/>
        <w:rPr/>
      </w:pPr>
      <w:r>
        <w:rPr/>
      </w:r>
    </w:p>
    <w:p>
      <w:pPr>
        <w:pStyle w:val="Normal"/>
        <w:rPr/>
      </w:pPr>
      <w:r>
        <w:rPr>
          <w:b/>
          <w:bCs/>
        </w:rPr>
        <w:t>Plan Current Status:</w:t>
        <w:tab/>
        <w:tab/>
      </w:r>
      <w:r>
        <w:rPr/>
        <w:t xml:space="preserve">As of today, no Carried Interest has been created by the original Fund, thus no incentive payout has been made.  In addition and per Gene Humphrey, there is also no way of determining if any future value exists from the original investments.  </w:t>
      </w:r>
    </w:p>
    <w:p>
      <w:pPr>
        <w:pStyle w:val="Normal"/>
        <w:rPr/>
      </w:pPr>
      <w:r>
        <w:rPr/>
      </w:r>
    </w:p>
    <w:p>
      <w:pPr>
        <w:pStyle w:val="Normal"/>
        <w:rPr/>
      </w:pPr>
      <w:r>
        <w:rPr>
          <w:b/>
          <w:bCs/>
        </w:rPr>
        <w:t>Proposal for Next Steps:</w:t>
      </w:r>
      <w:r>
        <w:rPr/>
        <w:tab/>
        <w:t xml:space="preserve">With the recent reorganization, EIP no longer exists and has been replaced by Principal Investments (which will have their own Fund, along with  the responsibility of tracking EIP’s original Fund’s investments).  Therefore, we recommend that this Incentive Plan designed specifically for EIP, and based on the performance of the original EIP Fund, be terminated.  </w:t>
        <w:tab/>
        <w:t xml:space="preserve">  </w:t>
      </w:r>
    </w:p>
    <w:p>
      <w:pPr>
        <w:pStyle w:val="Normal"/>
        <w:rPr/>
      </w:pPr>
      <w:r>
        <w:rPr/>
      </w:r>
    </w:p>
    <w:p>
      <w:pPr>
        <w:pStyle w:val="Normal"/>
        <w:rPr/>
      </w:pPr>
      <w:r>
        <w:rPr>
          <w:b/>
          <w:bCs/>
        </w:rPr>
        <w:t>Plan Termination Provisions:</w:t>
      </w:r>
      <w:r>
        <w:rPr/>
        <w:tab/>
        <w:t xml:space="preserve">The Committee in its discretion may terminate this Plan at any time.  The Committee being defined as CEO of EIP and an individual who is an officer in the Office of the Chairman of Enron.  All outstanding Incentive Interests shall be treated in accordance with Section 7.6, which allows for two different Plan Termination Payout Options (but not limited to).  However, as stated above, there is no Incentive Interests to distribute, regardless which payout option was desired.  </w:t>
      </w:r>
    </w:p>
    <w:p>
      <w:pPr>
        <w:pStyle w:val="Normal"/>
        <w:rPr/>
      </w:pPr>
      <w:r>
        <w:rPr/>
      </w:r>
    </w:p>
    <w:p>
      <w:pPr>
        <w:pStyle w:val="Normal"/>
        <w:rPr/>
      </w:pPr>
      <w:r>
        <w:rPr>
          <w:b/>
          <w:bCs/>
        </w:rPr>
        <w:t>Compensation Recommendation:</w:t>
      </w:r>
      <w:r>
        <w:rPr/>
        <w:tab/>
        <w:t>Terminate Plan prior to 12/31/2001.  Allow Gene Humphrey the opportunity to demonstrate future value that may exists in the original investments.  If future value does exist, propose settlement that makes sense relative to this value.  If future value can not be demonstrated, determine whether or not a settlement to terminate the Plan is necessary, and if so, determine what that settlement should be.</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2001-10-19T12:42:00Z</dcterms:created>
  <dc:creator>scarrer</dc:creator>
  <dc:description/>
  <dc:language>en-CA</dc:language>
  <cp:lastModifiedBy>scarrer</cp:lastModifiedBy>
  <cp:lastPrinted>2001-10-19T10:32:00Z</cp:lastPrinted>
  <dcterms:modified xsi:type="dcterms:W3CDTF">2001-10-19T13:02:00Z</dcterms:modified>
  <cp:revision>4</cp:revision>
  <dc:subject/>
  <dc:title>Plan Name:</dc:title>
</cp:coreProperties>
</file>