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0"/>
        <w:rPr>
          <w:rFonts w:ascii="Arial Narrow" w:hAnsi="Arial Narrow" w:cs="Arial Narrow"/>
          <w:sz w:val="24"/>
        </w:rPr>
      </w:pPr>
      <w:r>
        <w:rPr>
          <w:rFonts w:cs="Arial Narrow" w:ascii="Arial Narrow" w:hAnsi="Arial Narrow"/>
          <w:sz w:val="24"/>
          <w:rPrChange w:id="0" w:author="Unknown" w:date="0-00-00T00:00:00Z"/>
        </w:rPr>
        <w:t xml:space="preserve">ENRON INDUSTRIAL MARKETS </w:t>
      </w:r>
    </w:p>
    <w:p>
      <w:pPr>
        <w:pStyle w:val="Heading"/>
        <w:spacing w:before="0" w:after="0"/>
        <w:rPr>
          <w:rFonts w:ascii="Arial Narrow" w:hAnsi="Arial Narrow" w:cs="Arial Narrow"/>
        </w:rPr>
      </w:pPr>
      <w:r>
        <w:rPr>
          <w:rFonts w:cs="Arial Narrow" w:ascii="Arial Narrow" w:hAnsi="Arial Narrow"/>
          <w:rPrChange w:id="0" w:author="Unknown" w:date="0-00-00T00:00:00Z"/>
        </w:rPr>
        <w:t>GENERAL TERMS AND CONDITIONS</w:t>
      </w:r>
    </w:p>
    <w:p>
      <w:pPr>
        <w:pStyle w:val="Heading"/>
        <w:spacing w:before="0" w:after="120"/>
        <w:rPr>
          <w:rFonts w:ascii="Arial Narrow" w:hAnsi="Arial Narrow" w:cs="Arial Narrow"/>
        </w:rPr>
      </w:pPr>
      <w:r>
        <w:rPr>
          <w:rFonts w:cs="Arial Narrow" w:ascii="Arial Narrow" w:hAnsi="Arial Narrow"/>
          <w:rPrChange w:id="0" w:author="Unknown" w:date="0-00-00T00:00:00Z"/>
        </w:rPr>
        <w:t>FOR ALL COMMODITIES</w:t>
      </w:r>
    </w:p>
    <w:p>
      <w:pPr>
        <w:pStyle w:val="Heading"/>
        <w:spacing w:before="0" w:after="120"/>
        <w:rPr>
          <w:rFonts w:ascii="Arial Narrow" w:hAnsi="Arial Narrow" w:cs="Arial Narrow"/>
        </w:rPr>
      </w:pPr>
      <w:r>
        <w:rPr>
          <w:rFonts w:cs="Arial Narrow" w:ascii="Arial Narrow" w:hAnsi="Arial Narrow"/>
        </w:rPr>
        <w:t>(WORKING DRAFT OF 9-7-01)</w:t>
      </w:r>
    </w:p>
    <w:p>
      <w:pPr>
        <w:sectPr>
          <w:headerReference w:type="default" r:id="rId2"/>
          <w:footerReference w:type="default" r:id="rId3"/>
          <w:type w:val="nextPage"/>
          <w:pgSz w:w="12240" w:h="15840"/>
          <w:pgMar w:left="1440" w:right="1440" w:gutter="0" w:header="720" w:top="1296" w:footer="576" w:bottom="1296"/>
          <w:pgNumType w:fmt="decimal"/>
          <w:formProt w:val="false"/>
          <w:vAlign w:val="center"/>
          <w:textDirection w:val="lrTb"/>
          <w:docGrid w:type="default" w:linePitch="360" w:charSpace="0"/>
        </w:sectPr>
      </w:pPr>
    </w:p>
    <w:p>
      <w:pPr>
        <w:pStyle w:val="BodyText2"/>
        <w:rPr/>
      </w:pPr>
      <w:r>
        <w:rPr>
          <w:rFonts w:cs="Arial Narrow" w:ascii="Arial Narrow" w:hAnsi="Arial Narrow"/>
          <w:sz w:val="18"/>
        </w:rPr>
        <w:t>Enron North American Corp. (“</w:t>
      </w:r>
      <w:r>
        <w:rPr>
          <w:rFonts w:cs="Arial Narrow" w:ascii="Arial Narrow" w:hAnsi="Arial Narrow"/>
          <w:sz w:val="18"/>
          <w:u w:val="single"/>
        </w:rPr>
        <w:t>ENA</w:t>
      </w:r>
      <w:r>
        <w:rPr>
          <w:rFonts w:cs="Arial Narrow" w:ascii="Arial Narrow" w:hAnsi="Arial Narrow"/>
          <w:sz w:val="18"/>
        </w:rPr>
        <w:t>”) and Counterparty (with ENA and Counterparty referred to individually as a “</w:t>
      </w:r>
      <w:r>
        <w:rPr>
          <w:rFonts w:cs="Arial Narrow" w:ascii="Arial Narrow" w:hAnsi="Arial Narrow"/>
          <w:sz w:val="18"/>
          <w:u w:val="single"/>
        </w:rPr>
        <w:t>Party</w:t>
      </w:r>
      <w:r>
        <w:rPr>
          <w:rFonts w:cs="Arial Narrow" w:ascii="Arial Narrow" w:hAnsi="Arial Narrow"/>
          <w:sz w:val="18"/>
        </w:rPr>
        <w:t>” and collectively as the “</w:t>
      </w:r>
      <w:r>
        <w:rPr>
          <w:rFonts w:cs="Arial Narrow" w:ascii="Arial Narrow" w:hAnsi="Arial Narrow"/>
          <w:sz w:val="18"/>
          <w:u w:val="single"/>
        </w:rPr>
        <w:t>Parties</w:t>
      </w:r>
      <w:r>
        <w:rPr>
          <w:rFonts w:cs="Arial Narrow" w:ascii="Arial Narrow" w:hAnsi="Arial Narrow"/>
          <w:sz w:val="18"/>
        </w:rPr>
        <w:t>”) have entered and/or anticipate entering into transactions (“</w:t>
      </w:r>
      <w:r>
        <w:rPr>
          <w:rFonts w:cs="Arial Narrow" w:ascii="Arial Narrow" w:hAnsi="Arial Narrow"/>
          <w:sz w:val="18"/>
          <w:u w:val="single"/>
        </w:rPr>
        <w:t>Transactions</w:t>
      </w:r>
      <w:r>
        <w:rPr>
          <w:rFonts w:cs="Arial Narrow" w:ascii="Arial Narrow" w:hAnsi="Arial Narrow"/>
          <w:sz w:val="18"/>
        </w:rPr>
        <w:t>”) pursuant to these general terms and conditions (these “</w:t>
      </w:r>
      <w:r>
        <w:rPr>
          <w:rFonts w:cs="Arial Narrow" w:ascii="Arial Narrow" w:hAnsi="Arial Narrow"/>
          <w:sz w:val="18"/>
          <w:u w:val="single"/>
        </w:rPr>
        <w:t>Terms</w:t>
      </w:r>
      <w:r>
        <w:rPr>
          <w:rFonts w:cs="Arial Narrow" w:ascii="Arial Narrow" w:hAnsi="Arial Narrow"/>
          <w:sz w:val="18"/>
        </w:rPr>
        <w:t>”) and confirmations of Transactions referencing these Terms (“</w:t>
      </w:r>
      <w:r>
        <w:rPr>
          <w:rFonts w:cs="Arial Narrow" w:ascii="Arial Narrow" w:hAnsi="Arial Narrow"/>
          <w:sz w:val="18"/>
          <w:u w:val="single"/>
        </w:rPr>
        <w:t>Confirmations</w:t>
      </w:r>
      <w:r>
        <w:rPr>
          <w:rFonts w:cs="Arial Narrow" w:ascii="Arial Narrow" w:hAnsi="Arial Narrow"/>
          <w:sz w:val="18"/>
        </w:rPr>
        <w:t>”).  Capitalized terms used herein and not elsewhere defined are defined in Section 9. Counterparty and ENA hereby agree as follows:</w:t>
      </w:r>
    </w:p>
    <w:p>
      <w:pPr>
        <w:pStyle w:val="MasterHeading"/>
        <w:numPr>
          <w:ilvl w:val="0"/>
          <w:numId w:val="4"/>
        </w:numPr>
        <w:ind w:hanging="0" w:start="0" w:end="0"/>
        <w:rPr>
          <w:rFonts w:ascii="Arial Narrow" w:hAnsi="Arial Narrow" w:cs="Arial Narrow"/>
          <w:sz w:val="18"/>
        </w:rPr>
      </w:pPr>
      <w:r>
        <w:rPr>
          <w:rFonts w:cs="Arial Narrow" w:ascii="Arial Narrow" w:hAnsi="Arial Narrow"/>
          <w:sz w:val="18"/>
        </w:rPr>
        <w:t>Transactions</w:t>
      </w:r>
    </w:p>
    <w:p>
      <w:pPr>
        <w:pStyle w:val="BodyText"/>
        <w:tabs>
          <w:tab w:val="clear" w:pos="720"/>
          <w:tab w:val="left" w:pos="360" w:leader="none"/>
        </w:tabs>
        <w:jc w:val="both"/>
        <w:rPr/>
      </w:pPr>
      <w:r>
        <w:rPr>
          <w:rFonts w:cs="Arial Narrow" w:ascii="Arial Narrow" w:hAnsi="Arial Narrow"/>
          <w:b/>
          <w:sz w:val="18"/>
        </w:rPr>
        <w:t>1.1</w:t>
      </w:r>
      <w:r>
        <w:rPr>
          <w:rFonts w:cs="Arial Narrow" w:ascii="Arial Narrow" w:hAnsi="Arial Narrow"/>
          <w:sz w:val="18"/>
        </w:rPr>
        <w:t>.</w:t>
        <w:tab/>
        <w:tab/>
      </w:r>
      <w:r>
        <w:rPr>
          <w:rFonts w:cs="Arial Narrow" w:ascii="Arial Narrow" w:hAnsi="Arial Narrow"/>
          <w:b/>
          <w:sz w:val="18"/>
        </w:rPr>
        <w:t>Procedures.</w:t>
      </w:r>
      <w:r>
        <w:rPr>
          <w:rFonts w:cs="Arial Narrow" w:ascii="Arial Narrow" w:hAnsi="Arial Narrow"/>
          <w:sz w:val="18"/>
        </w:rPr>
        <w:t xml:space="preserve"> </w:t>
      </w:r>
    </w:p>
    <w:p>
      <w:pPr>
        <w:pStyle w:val="BodyText"/>
        <w:tabs>
          <w:tab w:val="clear" w:pos="720"/>
          <w:tab w:val="left" w:pos="360" w:leader="none"/>
        </w:tabs>
        <w:jc w:val="both"/>
        <w:rPr>
          <w:rFonts w:ascii="Arial Narrow" w:hAnsi="Arial Narrow" w:cs="Arial Narrow"/>
          <w:sz w:val="18"/>
        </w:rPr>
      </w:pPr>
      <w:r>
        <w:rPr>
          <w:rFonts w:cs="Arial Narrow" w:ascii="Arial Narrow" w:hAnsi="Arial Narrow"/>
          <w:sz w:val="18"/>
        </w:rPr>
        <w:t>(a) A Transaction may be entered into by means of an offer made by either Party to the other Party in a telephone conversation, which may be recorded, and the acceptance of such offer by the offeree in such telephone conversation, and may be evidenced by a Confirmation as provided herein.</w:t>
      </w:r>
    </w:p>
    <w:p>
      <w:pPr>
        <w:pStyle w:val="Normal"/>
        <w:tabs>
          <w:tab w:val="clear" w:pos="720"/>
          <w:tab w:val="left" w:pos="-720" w:leader="none"/>
          <w:tab w:val="left" w:pos="8640" w:leader="none"/>
        </w:tabs>
        <w:suppressAutoHyphens w:val="true"/>
        <w:jc w:val="both"/>
        <w:rPr/>
      </w:pPr>
      <w:r>
        <w:rPr>
          <w:rFonts w:cs="Arial Narrow" w:ascii="Arial Narrow" w:hAnsi="Arial Narrow"/>
          <w:sz w:val="18"/>
        </w:rPr>
        <w:t>(b) A Transaction may also be initiated by Counterparty’s offering to buy or sell the Commodity by clicking on the designated boxes on the Enron Online web site (the “</w:t>
      </w:r>
      <w:r>
        <w:rPr>
          <w:rFonts w:cs="Arial Narrow" w:ascii="Arial Narrow" w:hAnsi="Arial Narrow"/>
          <w:sz w:val="18"/>
          <w:u w:val="single"/>
        </w:rPr>
        <w:t>Web site</w:t>
      </w:r>
      <w:r>
        <w:rPr>
          <w:rFonts w:cs="Arial Narrow" w:ascii="Arial Narrow" w:hAnsi="Arial Narrow"/>
          <w:sz w:val="18"/>
        </w:rPr>
        <w:t>”).  Information posted by ENA on the Web site is not an offer to buy or sell by ENA.  ENA may accept or reject Counterparty’s offer at its sole discretion, with a Transaction deemed executed when ENA first signifies its acceptance of Counterparty’s offer, accessible on the Web site.  These Terms shall govern any Transactions initiated on such Web site.</w:t>
      </w:r>
    </w:p>
    <w:p>
      <w:pPr>
        <w:pStyle w:val="Normal"/>
        <w:tabs>
          <w:tab w:val="clear" w:pos="720"/>
          <w:tab w:val="left" w:pos="-720" w:leader="none"/>
          <w:tab w:val="left" w:pos="8640" w:leader="none"/>
        </w:tabs>
        <w:suppressAutoHyphens w:val="true"/>
        <w:jc w:val="both"/>
        <w:rPr/>
      </w:pPr>
      <w:r>
        <w:rPr>
          <w:rFonts w:cs="Arial Narrow" w:ascii="Arial Narrow" w:hAnsi="Arial Narrow"/>
          <w:sz w:val="18"/>
        </w:rPr>
        <w:t>(c) The Parties shall be legally bound by the terms of a Transaction, as supplemented by these Terms, from the time they agree to those terms, orally or otherwise (the “</w:t>
      </w:r>
      <w:r>
        <w:rPr>
          <w:rFonts w:cs="Arial Narrow" w:ascii="Arial Narrow" w:hAnsi="Arial Narrow"/>
          <w:sz w:val="18"/>
          <w:u w:val="single"/>
        </w:rPr>
        <w:t>Trade Date</w:t>
      </w:r>
      <w:r>
        <w:rPr>
          <w:rFonts w:cs="Arial Narrow" w:ascii="Arial Narrow" w:hAnsi="Arial Narrow"/>
          <w:sz w:val="18"/>
        </w:rPr>
        <w:t>”).  Counterparty consents to ENA’s recording of its telephone conversations and shall not contest or assert any defense to the (i) validity or enforceability of telephonic Transactions under laws requiring that certain agreements be in writing or signed or (ii) authority of any representative to enter into a Transaction.  The manner of entering into a Transaction described in this Section 1 is not the exclusive means of forming a binding agreement between the Parties.</w:t>
      </w:r>
    </w:p>
    <w:p>
      <w:pPr>
        <w:pStyle w:val="Normal"/>
        <w:numPr>
          <w:ilvl w:val="1"/>
          <w:numId w:val="4"/>
        </w:numPr>
        <w:tabs>
          <w:tab w:val="clear" w:pos="720"/>
          <w:tab w:val="left" w:pos="0" w:leader="none"/>
        </w:tabs>
        <w:ind w:hanging="0" w:start="0" w:end="0"/>
        <w:jc w:val="both"/>
        <w:rPr>
          <w:rFonts w:ascii="Arial Narrow" w:hAnsi="Arial Narrow" w:cs="Arial Narrow"/>
          <w:sz w:val="18"/>
        </w:rPr>
      </w:pPr>
      <w:r>
        <w:rPr>
          <w:rFonts w:cs="Arial Narrow" w:ascii="Arial Narrow" w:hAnsi="Arial Narrow"/>
          <w:b/>
          <w:sz w:val="18"/>
        </w:rPr>
        <w:t xml:space="preserve">Confirmations. </w:t>
      </w:r>
    </w:p>
    <w:p>
      <w:pPr>
        <w:pStyle w:val="Normal"/>
        <w:numPr>
          <w:ilvl w:val="0"/>
          <w:numId w:val="8"/>
        </w:numPr>
        <w:tabs>
          <w:tab w:val="clear" w:pos="720"/>
        </w:tabs>
        <w:ind w:hanging="0" w:start="0" w:end="0"/>
        <w:jc w:val="both"/>
        <w:rPr>
          <w:rFonts w:ascii="Arial Narrow" w:hAnsi="Arial Narrow" w:cs="Arial Narrow"/>
          <w:sz w:val="18"/>
        </w:rPr>
      </w:pPr>
      <w:r>
        <w:rPr>
          <w:rFonts w:cs="Arial Narrow" w:ascii="Arial Narrow" w:hAnsi="Arial Narrow"/>
          <w:sz w:val="18"/>
        </w:rPr>
        <w:t>ENA may send a written Confirmation memorializing the Transaction after agreement as to a Transaction pursuant to Section 1.1.  Each Confirmation will be promptly executed by Counterparty and returned to ENA; however, Counterparty’s failure to do so shall not impair the binding agreement of the Parties as to the Transaction.</w:t>
      </w:r>
    </w:p>
    <w:p>
      <w:pPr>
        <w:pStyle w:val="BodyText2"/>
        <w:tabs>
          <w:tab w:val="clear" w:pos="720"/>
          <w:tab w:val="left" w:pos="360" w:leader="none"/>
        </w:tabs>
        <w:rPr>
          <w:rFonts w:ascii="Arial Narrow" w:hAnsi="Arial Narrow" w:cs="Arial Narrow"/>
          <w:sz w:val="18"/>
        </w:rPr>
      </w:pPr>
      <w:r>
        <w:rPr>
          <w:rFonts w:cs="Arial Narrow" w:ascii="Arial Narrow" w:hAnsi="Arial Narrow"/>
          <w:sz w:val="18"/>
        </w:rPr>
        <w:t>(b) A Confirmation sent as provided above shall be considered correct upon ENA’s receipt of Counterparty’s reply (whether in writing or by facsimile, telegraph, telex or electronic message), unless Counterparty notifies ENA within 3 days of Counterparty’s receipt thereof, that the Confirmation contains a bona fide error and that a correction is necessary, in which case the Confirmation as revised by ENA to correct the error shall be the definitive Confirmation for the Transaction.  If any dispute shall arise as to whether an error exists, the Parties will, in good faith, make reasonable efforts to resolve the dispute.  If Counterparty fails to notify ENA of a bona fide error in the Confirmation or otherwise fails to reply in writing within 3 days after its receipt by Counterparty, the Confirmation shall be deemed correct and binding and conclusive evidence of the Transaction agreed to by the Parties.  ENA’s failure to send a Confirmation or Counterparty’s failure to reply to or return a Confirmation shall not invalidate any otherwise valid Transaction.  Any inconsistency between these Terms and a Confirmation shall be resolved in favor of the Confirmation.</w:t>
      </w:r>
    </w:p>
    <w:p>
      <w:pPr>
        <w:pStyle w:val="BodyText2"/>
        <w:tabs>
          <w:tab w:val="clear" w:pos="720"/>
          <w:tab w:val="left" w:pos="360" w:leader="none"/>
        </w:tabs>
        <w:rPr>
          <w:rFonts w:ascii="Arial Narrow" w:hAnsi="Arial Narrow" w:cs="Arial Narrow"/>
          <w:sz w:val="18"/>
        </w:rPr>
      </w:pPr>
      <w:r>
        <w:rPr>
          <w:rFonts w:cs="Arial Narrow" w:ascii="Arial Narrow" w:hAnsi="Arial Narrow"/>
          <w:sz w:val="18"/>
        </w:rPr>
        <w:t>(c) All Transactions are entered into by the Parties in reliance on the fact that these Terms and all Confirmations form a single integrated agreement between the Parties, and absent such fact, the Parties would not enter into any Transactions.  THE PARTIES AGREE THAT ANY TRANSACTION ENTERED INTO UNDER THESE TERMS IS A "QUALIFIED FINANCIAL CONTRACT" WITHIN THE MEANING OF NEW YORK GENERAL OBLIGATIONS LAW § 5-701(b).</w:t>
      </w:r>
    </w:p>
    <w:p>
      <w:pPr>
        <w:pStyle w:val="Normal"/>
        <w:tabs>
          <w:tab w:val="clear" w:pos="720"/>
          <w:tab w:val="left" w:pos="360" w:leader="none"/>
        </w:tabs>
        <w:jc w:val="both"/>
        <w:rPr>
          <w:rFonts w:ascii="Arial Narrow" w:hAnsi="Arial Narrow" w:cs="Arial Narrow"/>
          <w:b/>
          <w:sz w:val="18"/>
        </w:rPr>
      </w:pPr>
      <w:r>
        <w:rPr>
          <w:rFonts w:cs="Arial Narrow" w:ascii="Arial Narrow" w:hAnsi="Arial Narrow"/>
          <w:sz w:val="18"/>
        </w:rPr>
        <w:t>(d) All transactions (the “</w:t>
      </w:r>
      <w:r>
        <w:rPr>
          <w:rFonts w:cs="Arial Narrow" w:ascii="Arial Narrow" w:hAnsi="Arial Narrow"/>
          <w:sz w:val="18"/>
          <w:u w:val="single"/>
        </w:rPr>
        <w:t>Existing Transactions</w:t>
      </w:r>
      <w:r>
        <w:rPr>
          <w:rFonts w:cs="Arial Narrow" w:ascii="Arial Narrow" w:hAnsi="Arial Narrow"/>
          <w:sz w:val="18"/>
        </w:rPr>
        <w:t>”) involving the Commodity formed between the Parties prior to the date these Terms were delivered to Counterparty (the “</w:t>
      </w:r>
      <w:r>
        <w:rPr>
          <w:rFonts w:cs="Arial Narrow" w:ascii="Arial Narrow" w:hAnsi="Arial Narrow"/>
          <w:sz w:val="18"/>
          <w:u w:val="single"/>
        </w:rPr>
        <w:t>Effective Date</w:t>
      </w:r>
      <w:r>
        <w:rPr>
          <w:rFonts w:cs="Arial Narrow" w:ascii="Arial Narrow" w:hAnsi="Arial Narrow"/>
          <w:sz w:val="18"/>
        </w:rPr>
        <w:t>”) shall be governed by these Terms.</w:t>
      </w:r>
    </w:p>
    <w:p>
      <w:pPr>
        <w:pStyle w:val="BodyText"/>
        <w:jc w:val="both"/>
        <w:rPr/>
      </w:pPr>
      <w:r>
        <w:rPr>
          <w:rFonts w:cs="Arial Narrow" w:ascii="Arial Narrow" w:hAnsi="Arial Narrow"/>
          <w:b/>
          <w:sz w:val="18"/>
        </w:rPr>
        <w:t>1.3</w:t>
        <w:tab/>
        <w:t xml:space="preserve">Warranty Limitations.  </w:t>
      </w:r>
      <w:r>
        <w:rPr>
          <w:rFonts w:cs="Arial Narrow" w:ascii="Arial Narrow" w:hAnsi="Arial Narrow"/>
          <w:bCs/>
          <w:sz w:val="18"/>
        </w:rPr>
        <w:t>E</w:t>
      </w:r>
      <w:r>
        <w:rPr>
          <w:rFonts w:cs="Arial Narrow" w:ascii="Arial Narrow" w:hAnsi="Arial Narrow"/>
          <w:sz w:val="18"/>
        </w:rPr>
        <w:t>ach Party represents to the other as follows: (a) it is acting as principal, except as to exercise of set-off rights under subsection 6.5, in which case it may act as agent on behalf of its Affiliates and bind them as if they had directly become bound by these Terms; (b) the other Party is not acting as a fiduciary or financial or investment advisor on its behalf; (c) it is not relying on any representation (written or oral) other than as expressly stated in these Terms or a Confirmation; (d) it has not received any advice, counsel or assurance from the other Party as to the success, profitability, result, or benefit (legal, regulatory, tax, financial, accounting, or otherwise) of any Transaction; (e) it has relied solely upon its own legal, regulatory, tax, business, investment, financial, and accounting advisors, and it has made its own decisions relating to investment, trading, hedging, and other matters using its own judgment and that of its advisors; (f) all Transactions have and will result from arm’s length negotiations; (g) it possesses a full understanding of the risks associated with each Transaction, economic and otherwise, and is capable of assessing and does assume all such risks; and (h) the rights set forth in subsection 6.5 are an integral part of the agreement between the Parties and without such rights the parties would not be willing to enter into Transactions.  EACH PARTY EXPRESSLY NEGATES ANY OTHER REPRESENTATION OR WARRANTY, WRITTEN OR ORAL, EXPRESS OR IMPLIED, INCLUDING, WITHOUT LIMITATION, ANY REPRESENTATION OR WARRANTY WITH RESPECT TO CONFORMITY TO MODELS OR SAMPLES, MERCHANTABILITY, OR FITNESS FOR ANY PARTICULAR PURPOSE.</w:t>
      </w:r>
    </w:p>
    <w:p>
      <w:pPr>
        <w:pStyle w:val="BodyText2"/>
        <w:numPr>
          <w:ilvl w:val="0"/>
          <w:numId w:val="4"/>
        </w:numPr>
        <w:tabs>
          <w:tab w:val="clear" w:pos="720"/>
          <w:tab w:val="left" w:pos="360" w:leader="none"/>
        </w:tabs>
        <w:spacing w:before="60" w:after="60"/>
        <w:jc w:val="center"/>
        <w:rPr>
          <w:rFonts w:ascii="Arial Narrow" w:hAnsi="Arial Narrow" w:cs="Arial Narrow"/>
          <w:b/>
          <w:bCs/>
          <w:sz w:val="18"/>
        </w:rPr>
      </w:pPr>
      <w:r>
        <w:rPr>
          <w:rFonts w:cs="Arial Narrow" w:ascii="Arial Narrow" w:hAnsi="Arial Narrow"/>
          <w:b/>
          <w:bCs/>
          <w:sz w:val="18"/>
        </w:rPr>
        <w:t>Title</w:t>
      </w:r>
    </w:p>
    <w:p>
      <w:pPr>
        <w:pStyle w:val="BodyText"/>
        <w:jc w:val="both"/>
        <w:rPr>
          <w:rFonts w:ascii="Arial Narrow" w:hAnsi="Arial Narrow" w:cs="Arial Narrow"/>
          <w:sz w:val="18"/>
        </w:rPr>
      </w:pPr>
      <w:r>
        <w:rPr>
          <w:rFonts w:cs="Arial Narrow" w:ascii="Arial Narrow" w:hAnsi="Arial Narrow"/>
          <w:sz w:val="18"/>
        </w:rPr>
        <w:t>Seller warrants that at the time of each delivery of the Commodity, Seller will have title to the Commodity, and it will convey to Buyer title to the Commodity, free and clear of all liens, claims, security interests, encumbrances and defects of title arising prior to the transfer of title to Buyer.  Except as otherwise stated in the Confirmation, title to and risk of loss of the Commodity shall pass to Buyer upon delivery at the Delivery Point.</w:t>
      </w:r>
    </w:p>
    <w:p>
      <w:pPr>
        <w:pStyle w:val="MasterHeading"/>
        <w:numPr>
          <w:ilvl w:val="0"/>
          <w:numId w:val="0"/>
        </w:numPr>
        <w:ind w:hanging="0" w:start="0"/>
        <w:rPr>
          <w:rFonts w:ascii="Arial Narrow" w:hAnsi="Arial Narrow" w:cs="Arial Narrow"/>
          <w:sz w:val="18"/>
        </w:rPr>
      </w:pPr>
      <w:r>
        <w:rPr>
          <w:rFonts w:cs="Arial Narrow" w:ascii="Arial Narrow" w:hAnsi="Arial Narrow"/>
          <w:sz w:val="18"/>
        </w:rPr>
        <w:t>3.</w:t>
        <w:tab/>
        <w:t>Obligations</w:t>
      </w:r>
    </w:p>
    <w:p>
      <w:pPr>
        <w:pStyle w:val="Normal"/>
        <w:tabs>
          <w:tab w:val="left" w:pos="720" w:leader="none"/>
        </w:tabs>
        <w:jc w:val="both"/>
        <w:rPr/>
      </w:pPr>
      <w:r>
        <w:rPr>
          <w:rFonts w:cs="Arial Narrow" w:ascii="Arial Narrow" w:hAnsi="Arial Narrow"/>
          <w:b/>
          <w:bCs/>
          <w:sz w:val="18"/>
        </w:rPr>
        <w:t>3.1</w:t>
      </w:r>
      <w:r>
        <w:rPr>
          <w:rFonts w:cs="Arial Narrow" w:ascii="Arial Narrow" w:hAnsi="Arial Narrow"/>
          <w:sz w:val="18"/>
        </w:rPr>
        <w:tab/>
      </w:r>
      <w:r>
        <w:rPr>
          <w:rFonts w:cs="Arial Narrow" w:ascii="Arial Narrow" w:hAnsi="Arial Narrow"/>
          <w:b/>
          <w:sz w:val="18"/>
        </w:rPr>
        <w:t>Seller’s and Buyer’s Obligations</w:t>
      </w:r>
      <w:r>
        <w:rPr>
          <w:rFonts w:cs="Arial Narrow" w:ascii="Arial Narrow" w:hAnsi="Arial Narrow"/>
          <w:sz w:val="18"/>
        </w:rPr>
        <w:t>.  Except as otherwise stated in the Confirmation, Seller shall sell and Buyer shall purchase the Contract Quantity of the Commodity and Buyer shall pay Seller the Purchase Price for such Commodity.</w:t>
      </w:r>
    </w:p>
    <w:p>
      <w:pPr>
        <w:pStyle w:val="Normal"/>
        <w:numPr>
          <w:ilvl w:val="1"/>
          <w:numId w:val="5"/>
        </w:numPr>
        <w:tabs>
          <w:tab w:val="clear" w:pos="720"/>
          <w:tab w:val="left" w:pos="0" w:leader="none"/>
        </w:tabs>
        <w:ind w:hanging="0" w:start="0" w:end="0"/>
        <w:jc w:val="both"/>
        <w:rPr>
          <w:rFonts w:ascii="Arial Narrow" w:hAnsi="Arial Narrow" w:cs="Arial Narrow"/>
          <w:b/>
          <w:sz w:val="18"/>
        </w:rPr>
      </w:pPr>
      <w:r>
        <w:rPr>
          <w:rFonts w:cs="Arial Narrow" w:ascii="Arial Narrow" w:hAnsi="Arial Narrow"/>
          <w:b/>
          <w:bCs/>
          <w:sz w:val="18"/>
        </w:rPr>
        <w:t>Source and Delivery Point</w:t>
      </w:r>
      <w:r>
        <w:rPr>
          <w:rFonts w:cs="Arial Narrow" w:ascii="Arial Narrow" w:hAnsi="Arial Narrow"/>
          <w:sz w:val="18"/>
        </w:rPr>
        <w:t>.  Except as otherwise stated in a Confirmation, the source of the Commodity shall be any source capable of producing the Commodity, which meets the quality specifications set forth in the Confirmation.  Delivery terms shall be specified in the Confirmation.</w:t>
      </w:r>
    </w:p>
    <w:p>
      <w:pPr>
        <w:pStyle w:val="BodyTextIndent2"/>
        <w:tabs>
          <w:tab w:val="clear" w:pos="432"/>
          <w:tab w:val="left" w:pos="720" w:leader="none"/>
          <w:tab w:val="left" w:pos="5724" w:leader="none"/>
          <w:tab w:val="left" w:pos="6192" w:leader="none"/>
          <w:tab w:val="left" w:pos="6912" w:leader="none"/>
          <w:tab w:val="left" w:pos="7632" w:leader="none"/>
        </w:tabs>
        <w:ind w:start="0" w:end="0"/>
        <w:rPr/>
      </w:pPr>
      <w:r>
        <w:rPr>
          <w:rFonts w:cs="Arial Narrow" w:ascii="Arial Narrow" w:hAnsi="Arial Narrow"/>
          <w:b/>
          <w:sz w:val="18"/>
        </w:rPr>
        <w:t>3.3</w:t>
        <w:tab/>
        <w:t>Taxes.</w:t>
      </w:r>
      <w:r>
        <w:rPr>
          <w:rFonts w:cs="Arial Narrow" w:ascii="Arial Narrow" w:hAnsi="Arial Narrow"/>
          <w:sz w:val="18"/>
        </w:rPr>
        <w:t xml:space="preserve">  Seller shall be solely responsible for all Taxes (including New Taxes, but not income taxes or Trade Duties) imposed by governmental authorities (“</w:t>
      </w:r>
      <w:r>
        <w:rPr>
          <w:rFonts w:cs="Arial Narrow" w:ascii="Arial Narrow" w:hAnsi="Arial Narrow"/>
          <w:sz w:val="18"/>
          <w:u w:val="single"/>
        </w:rPr>
        <w:t>Third Party Impositions</w:t>
      </w:r>
      <w:r>
        <w:rPr>
          <w:rFonts w:cs="Arial Narrow" w:ascii="Arial Narrow" w:hAnsi="Arial Narrow"/>
          <w:sz w:val="18"/>
        </w:rPr>
        <w:t xml:space="preserve">”) relating to the production, sale, use, loading and delivery of the Commodity to Buyer or in any way accrued or levied prior to the transfer of title to the Commodity to Buyer. Buyer shall be solely responsible for all Third Party Impositions relating to the Commodity accrued or levied at and after the transfer of title to the Commodity to Buyer. Notwithstanding any other provision hereof, </w:t>
      </w:r>
      <w:r>
        <w:rPr>
          <w:rFonts w:cs="Arial Narrow" w:ascii="Arial Narrow" w:hAnsi="Arial Narrow"/>
          <w:sz w:val="18"/>
          <w:u w:val="single"/>
        </w:rPr>
        <w:t>if</w:t>
      </w:r>
      <w:r>
        <w:rPr>
          <w:rFonts w:cs="Arial Narrow" w:ascii="Arial Narrow" w:hAnsi="Arial Narrow"/>
          <w:sz w:val="18"/>
        </w:rPr>
        <w:t xml:space="preserve"> (a) a New Tax or Trade Surcharge is imposed, (b) a Party would be responsible for such New Tax or Surcharge, and (c) such New Tax or Trade Surcharge is a cost that such Party can pass through to, or be reimbursed by, another person, such Party shall pay or reimburse the other Party (when the other Party has paid such New Tax or Trade Surcharge, as applicable). If, however, a New Tax or Trade Surcharge is imposed and all conditions stated in (a), (b) and (c) of the prior sentence are not met, Buyer and Seller shall attempt to reach mutual agreement as to the sharing of the New Tax or Trade Surcharge, as applicable.  If Buyer and Seller cannot reach agreement as to sharing of a New Tax or Trade Surcharge within 30 days, the Parties shall submit to binding arbitration hereunder to determine each Party’s respective liability for the New Tax or Trade Surcharge.  Notwithstanding the foregoing, a Party is not liable for any Tax or Trade Surcharge imposed on the other Party if it is refundable to the other Party.  A Party that is exempt from a Tax or Trade Surcharge shall provide a certificate of exemption or other reasonably satisfactory evidence of such exemption.  Each Party shall use reasonable efforts to obtain and cooperate with the other Party’s obtaining any exemption from or reduction of any Tax or Trade Surcharge.</w:t>
      </w:r>
    </w:p>
    <w:p>
      <w:pPr>
        <w:pStyle w:val="BodyText"/>
        <w:jc w:val="both"/>
        <w:rPr/>
      </w:pPr>
      <w:r>
        <w:rPr>
          <w:rFonts w:cs="Arial Narrow" w:ascii="Arial Narrow" w:hAnsi="Arial Narrow"/>
          <w:b/>
          <w:sz w:val="18"/>
        </w:rPr>
        <w:t>3.4</w:t>
        <w:tab/>
        <w:t xml:space="preserve">Option Exercise. </w:t>
      </w:r>
      <w:r>
        <w:rPr>
          <w:rFonts w:cs="Arial Narrow" w:ascii="Arial Narrow" w:hAnsi="Arial Narrow"/>
          <w:sz w:val="18"/>
        </w:rPr>
        <w:t xml:space="preserve"> Except as otherwise stated in the Confirmation, to exercise an Option the Option buyer must, no later than 5 p.m. Central Time on the Exercise Date, notify the Option seller in writing, which notice will be irrevocable, of the Option buyer’s exercise of its rights granted pursuant to the Option.  If the Option is not timely exercised, it will expire and neither Party will have any further rights or liabilities with respect to the Option. Once an Option has been timely exercised, the purchase and sale of the Commodity relating thereto shall be governed by these Terms and the relevant Confirmation, with the terms “</w:t>
      </w:r>
      <w:r>
        <w:rPr>
          <w:rFonts w:cs="Arial Narrow" w:ascii="Arial Narrow" w:hAnsi="Arial Narrow"/>
          <w:sz w:val="18"/>
          <w:u w:val="single"/>
        </w:rPr>
        <w:t>Buyer</w:t>
      </w:r>
      <w:r>
        <w:rPr>
          <w:rFonts w:cs="Arial Narrow" w:ascii="Arial Narrow" w:hAnsi="Arial Narrow"/>
          <w:sz w:val="18"/>
        </w:rPr>
        <w:t>” and “</w:t>
      </w:r>
      <w:r>
        <w:rPr>
          <w:rFonts w:cs="Arial Narrow" w:ascii="Arial Narrow" w:hAnsi="Arial Narrow"/>
          <w:sz w:val="18"/>
          <w:u w:val="single"/>
        </w:rPr>
        <w:t>Seller</w:t>
      </w:r>
      <w:r>
        <w:rPr>
          <w:rFonts w:cs="Arial Narrow" w:ascii="Arial Narrow" w:hAnsi="Arial Narrow"/>
          <w:sz w:val="18"/>
        </w:rPr>
        <w:t>” referring to the physical buyer and seller of the Commodity, respectively, as opposed to the Option buyer or seller.</w:t>
      </w:r>
    </w:p>
    <w:p>
      <w:pPr>
        <w:pStyle w:val="MasterHeading"/>
        <w:numPr>
          <w:ilvl w:val="0"/>
          <w:numId w:val="0"/>
        </w:numPr>
        <w:ind w:hanging="0" w:start="0"/>
        <w:rPr>
          <w:rFonts w:ascii="Arial Narrow" w:hAnsi="Arial Narrow" w:cs="Arial Narrow"/>
          <w:sz w:val="18"/>
        </w:rPr>
      </w:pPr>
      <w:r>
        <w:rPr>
          <w:rFonts w:cs="Arial Narrow" w:ascii="Arial Narrow" w:hAnsi="Arial Narrow"/>
          <w:sz w:val="18"/>
        </w:rPr>
        <w:t>4.</w:t>
        <w:tab/>
        <w:t>Settlements; Security</w:t>
      </w:r>
    </w:p>
    <w:p>
      <w:pPr>
        <w:pStyle w:val="BodyText"/>
        <w:tabs>
          <w:tab w:val="left" w:pos="720" w:leader="none"/>
        </w:tabs>
        <w:jc w:val="both"/>
        <w:rPr/>
      </w:pPr>
      <w:r>
        <w:rPr>
          <w:rFonts w:cs="Arial Narrow" w:ascii="Arial Narrow" w:hAnsi="Arial Narrow"/>
          <w:b/>
          <w:sz w:val="18"/>
        </w:rPr>
        <w:t>4.1</w:t>
        <w:tab/>
        <w:t>Billing and Payment</w:t>
      </w:r>
      <w:r>
        <w:rPr>
          <w:rFonts w:cs="Arial Narrow" w:ascii="Arial Narrow" w:hAnsi="Arial Narrow"/>
          <w:sz w:val="18"/>
        </w:rPr>
        <w:t>.  Except as otherwise stated in the Confirmation, no later than the 15</w:t>
      </w:r>
      <w:r>
        <w:rPr>
          <w:rFonts w:cs="Arial Narrow" w:ascii="Arial Narrow" w:hAnsi="Arial Narrow"/>
          <w:sz w:val="18"/>
          <w:vertAlign w:val="superscript"/>
        </w:rPr>
        <w:t>th</w:t>
      </w:r>
      <w:r>
        <w:rPr>
          <w:rFonts w:cs="Arial Narrow" w:ascii="Arial Narrow" w:hAnsi="Arial Narrow"/>
          <w:sz w:val="18"/>
        </w:rPr>
        <w:t xml:space="preserve"> day of each month during which a Transaction subsists, Seller shall deliver Buyer a statement containing: (i) the aggregate Contract Price owed for the Commodity delivered to Buyer during the prior month, (ii) credit for any payments received from Seller during the prior month and (iii) any Early Termination Payment payable hereunder.  No later than 5 days after receipt of a Seller’s statement, Buyer shall pay, by wire transfer in immediately available United States funds, the amount set forth in such statement, subject to Section 4.2, to the payment address stated in such statement.  If Buyer in good faith disputes a statement, it shall provide Seller a written explanation specifying in detail the basis for the dispute and pay the undisputed portion no later than the due date.  Any disputed amount that is subsequently determined to be due shall be paid within 5 days of such determination, along with interest accrued at the Interest Rate from the original due date until the date paid.</w:t>
      </w:r>
    </w:p>
    <w:p>
      <w:pPr>
        <w:pStyle w:val="BodyText"/>
        <w:jc w:val="both"/>
        <w:rPr/>
      </w:pPr>
      <w:r>
        <w:rPr>
          <w:rFonts w:cs="Arial Narrow" w:ascii="Arial Narrow" w:hAnsi="Arial Narrow"/>
          <w:b/>
          <w:sz w:val="18"/>
        </w:rPr>
        <w:t>4.2</w:t>
        <w:tab/>
        <w:t>Netting</w:t>
      </w:r>
      <w:r>
        <w:rPr>
          <w:rFonts w:cs="Arial Narrow" w:ascii="Arial Narrow" w:hAnsi="Arial Narrow"/>
          <w:sz w:val="18"/>
        </w:rPr>
        <w:t>.  If each Party owes the other an amount due during the same monthly period as to the same or a series of Transactions, then such amounts shall be aggregated and the Parties shall discharge their respective payment obligations through netting, in which case the Party that owes the greater aggregate amount shall pay the other Party the difference between the amounts owed.</w:t>
      </w:r>
    </w:p>
    <w:p>
      <w:pPr>
        <w:pStyle w:val="BodyText"/>
        <w:jc w:val="both"/>
        <w:rPr/>
      </w:pPr>
      <w:r>
        <w:rPr>
          <w:rFonts w:cs="Arial Narrow" w:ascii="Arial Narrow" w:hAnsi="Arial Narrow"/>
          <w:b/>
          <w:sz w:val="18"/>
        </w:rPr>
        <w:t>4.3</w:t>
        <w:tab/>
        <w:t xml:space="preserve">Audit.  </w:t>
      </w:r>
      <w:r>
        <w:rPr>
          <w:rFonts w:cs="Arial Narrow" w:ascii="Arial Narrow" w:hAnsi="Arial Narrow"/>
          <w:sz w:val="18"/>
        </w:rPr>
        <w:t>Each Party may, with prior notice, examine relevant records of the other Party reasonably necessary to verify the accuracy of any invoice, statement, charge or computation.  If such examination reveals an inaccuracy, the adjustments to applicable invoices or statements and the payments thereunder will be promptly made and shall bear interest calculated at the Interest Rate from the date of the overpayment or underpayment until the adjustment is paid.</w:t>
      </w:r>
    </w:p>
    <w:p>
      <w:pPr>
        <w:pStyle w:val="Normal"/>
        <w:numPr>
          <w:ilvl w:val="1"/>
          <w:numId w:val="7"/>
        </w:numPr>
        <w:tabs>
          <w:tab w:val="left" w:pos="720" w:leader="none"/>
          <w:tab w:val="left" w:pos="1170" w:leader="none"/>
        </w:tabs>
        <w:ind w:hanging="0" w:start="0" w:end="0"/>
        <w:jc w:val="both"/>
        <w:rPr>
          <w:rFonts w:ascii="Arial Narrow" w:hAnsi="Arial Narrow" w:cs="Arial Narrow"/>
          <w:sz w:val="18"/>
        </w:rPr>
      </w:pPr>
      <w:r>
        <w:rPr>
          <w:rFonts w:cs="Arial Narrow" w:ascii="Arial Narrow" w:hAnsi="Arial Narrow"/>
          <w:b/>
          <w:sz w:val="18"/>
        </w:rPr>
        <w:t xml:space="preserve">Credit Support.  </w:t>
      </w:r>
      <w:r>
        <w:rPr>
          <w:rFonts w:cs="Arial Narrow" w:ascii="Arial Narrow" w:hAnsi="Arial Narrow"/>
          <w:sz w:val="18"/>
        </w:rPr>
        <w:t>Counterparty shall, at its expense and within 3 days of request by ENA, provide to ENA such Performance Assurance as ENA may request.</w:t>
      </w:r>
    </w:p>
    <w:p>
      <w:pPr>
        <w:pStyle w:val="Normal"/>
        <w:keepNext w:val="true"/>
        <w:keepLines/>
        <w:tabs>
          <w:tab w:val="clear" w:pos="720"/>
          <w:tab w:val="left" w:pos="810" w:leader="none"/>
          <w:tab w:val="left" w:pos="1170" w:leader="none"/>
        </w:tabs>
        <w:spacing w:before="60" w:after="60"/>
        <w:jc w:val="center"/>
        <w:rPr>
          <w:rFonts w:ascii="Arial Narrow" w:hAnsi="Arial Narrow" w:cs="Arial Narrow"/>
          <w:b/>
          <w:sz w:val="18"/>
        </w:rPr>
      </w:pPr>
      <w:r>
        <w:rPr>
          <w:rFonts w:cs="Arial Narrow" w:ascii="Arial Narrow" w:hAnsi="Arial Narrow"/>
          <w:b/>
          <w:sz w:val="18"/>
        </w:rPr>
        <w:t>5.  Force Majeure</w:t>
      </w:r>
    </w:p>
    <w:p>
      <w:pPr>
        <w:pStyle w:val="BodyTextIndent"/>
        <w:keepLines/>
        <w:ind w:start="0" w:end="0"/>
        <w:rPr/>
      </w:pPr>
      <w:r>
        <w:rPr>
          <w:rFonts w:cs="Arial Narrow" w:ascii="Arial Narrow" w:hAnsi="Arial Narrow"/>
          <w:sz w:val="18"/>
        </w:rPr>
        <w:t xml:space="preserve">If either Party is rendered unable by a Force Majeure to carry out, in whole or part, its obligations under a Transaction and such Party gives oral notice and full details of the event to the other Party as soon as practicable after the occurrence of the event (such notice to be confirmed in writing), then during the pendency of such Force Majeure, but for no longer period, the obligations of the Parties (other than obligations to make payments for commodity shipments already commercial) under such Transaction shall be suspended to the extent affected by the event.  The Party whose performance is suspended by the Force Majeure shall use all reasonable commercial efforts to remedy the Force Majeure with all reasonable dispatch;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provision shall not require Seller to deliver, or Buyer to receive, the Commodity at points other than the Delivery Point.</w:t>
      </w:r>
    </w:p>
    <w:p>
      <w:pPr>
        <w:pStyle w:val="Normal"/>
        <w:keepNext w:val="true"/>
        <w:keepLines/>
        <w:numPr>
          <w:ilvl w:val="0"/>
          <w:numId w:val="10"/>
        </w:numPr>
        <w:spacing w:before="60" w:after="0"/>
        <w:jc w:val="center"/>
        <w:rPr>
          <w:rFonts w:ascii="Arial Narrow" w:hAnsi="Arial Narrow" w:cs="Arial Narrow"/>
          <w:b/>
          <w:sz w:val="18"/>
        </w:rPr>
      </w:pPr>
      <w:r>
        <w:rPr>
          <w:rFonts w:cs="Arial Narrow" w:ascii="Arial Narrow" w:hAnsi="Arial Narrow"/>
          <w:b/>
          <w:sz w:val="18"/>
        </w:rPr>
        <w:t xml:space="preserve">Remedies, Early Termination and </w:t>
      </w:r>
    </w:p>
    <w:p>
      <w:pPr>
        <w:pStyle w:val="Heading8"/>
        <w:spacing w:before="0" w:after="60"/>
        <w:rPr/>
      </w:pPr>
      <w:r>
        <w:rPr/>
        <w:t>Limitation of Liability</w:t>
      </w:r>
    </w:p>
    <w:p>
      <w:pPr>
        <w:pStyle w:val="BodyText"/>
        <w:jc w:val="both"/>
        <w:rPr/>
      </w:pPr>
      <w:r>
        <w:rPr>
          <w:rFonts w:cs="Arial Narrow" w:ascii="Arial Narrow" w:hAnsi="Arial Narrow"/>
          <w:b/>
          <w:bCs/>
          <w:sz w:val="18"/>
          <w:szCs w:val="18"/>
        </w:rPr>
        <w:t>6.1</w:t>
        <w:tab/>
        <w:t>Cost of Cover R</w:t>
      </w:r>
      <w:r>
        <w:rPr>
          <w:rFonts w:cs="Arial Narrow" w:ascii="Arial Narrow" w:hAnsi="Arial Narrow"/>
          <w:b/>
          <w:sz w:val="18"/>
        </w:rPr>
        <w:t>emedy and Effect of Payment.</w:t>
      </w:r>
      <w:r>
        <w:rPr>
          <w:rFonts w:cs="Arial Narrow" w:ascii="Arial Narrow" w:hAnsi="Arial Narrow"/>
          <w:sz w:val="18"/>
        </w:rPr>
        <w:t xml:space="preserve">  The following are the Parties exclusive remedies for a Defaulting Party’s failure to perform under a Transaction prior to occurrence of an Early Termination Date:</w:t>
      </w:r>
    </w:p>
    <w:p>
      <w:pPr>
        <w:pStyle w:val="BodyText"/>
        <w:jc w:val="both"/>
        <w:rPr/>
      </w:pPr>
      <w:r>
        <w:rPr>
          <w:rFonts w:cs="Arial Narrow" w:ascii="Arial Narrow" w:hAnsi="Arial Narrow"/>
          <w:sz w:val="18"/>
        </w:rPr>
        <w:t>(a) Unless excused by Force Majeure or Buyer’s failure to perform, if Seller fails timely to deliver any part of the Contract Quantity under a Transaction, Seller shall pay Buyer for each unit of such deficiency (“</w:t>
      </w:r>
      <w:r>
        <w:rPr>
          <w:rFonts w:cs="Arial Narrow" w:ascii="Arial Narrow" w:hAnsi="Arial Narrow"/>
          <w:sz w:val="18"/>
          <w:u w:val="single"/>
        </w:rPr>
        <w:t>Deficiency</w:t>
      </w:r>
      <w:r>
        <w:rPr>
          <w:rFonts w:cs="Arial Narrow" w:ascii="Arial Narrow" w:hAnsi="Arial Narrow"/>
          <w:sz w:val="18"/>
        </w:rPr>
        <w:t xml:space="preserve">”) an amount equal to the positive difference, if any, of the Replacement Price for the Deficiency </w:t>
      </w:r>
      <w:r>
        <w:rPr>
          <w:rFonts w:cs="Arial Narrow" w:ascii="Arial Narrow" w:hAnsi="Arial Narrow"/>
          <w:sz w:val="18"/>
          <w:u w:val="single"/>
        </w:rPr>
        <w:t>less</w:t>
      </w:r>
      <w:r>
        <w:rPr>
          <w:rFonts w:cs="Arial Narrow" w:ascii="Arial Narrow" w:hAnsi="Arial Narrow"/>
          <w:sz w:val="18"/>
        </w:rPr>
        <w:t xml:space="preserve"> the Contract Price </w:t>
      </w:r>
      <w:r>
        <w:rPr>
          <w:rFonts w:cs="Arial Narrow" w:ascii="Arial Narrow" w:hAnsi="Arial Narrow"/>
          <w:sz w:val="18"/>
          <w:u w:val="single"/>
        </w:rPr>
        <w:t>plus</w:t>
      </w:r>
      <w:r>
        <w:rPr>
          <w:rFonts w:cs="Arial Narrow" w:ascii="Arial Narrow" w:hAnsi="Arial Narrow"/>
          <w:sz w:val="18"/>
        </w:rPr>
        <w:t xml:space="preserve"> (i) any additional transportation costs incurred by Buyer due to such failure and (ii) Legal Costs incurred by Buyer.</w:t>
      </w:r>
    </w:p>
    <w:p>
      <w:pPr>
        <w:pStyle w:val="Normal"/>
        <w:tabs>
          <w:tab w:val="clear" w:pos="720"/>
          <w:tab w:val="left" w:pos="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both"/>
        <w:rPr>
          <w:rFonts w:ascii="Arial Narrow" w:hAnsi="Arial Narrow" w:cs="Arial Narrow"/>
          <w:sz w:val="20"/>
        </w:rPr>
      </w:pPr>
      <w:r>
        <w:rPr>
          <w:rFonts w:cs="Arial Narrow" w:ascii="Arial Narrow" w:hAnsi="Arial Narrow"/>
          <w:sz w:val="18"/>
        </w:rPr>
        <w:t xml:space="preserve">(b) Unless excused by Force Majeure or Seller’s failure to perform, if Buyer fails timely to accept any part of the Contract Quantity under a Transaction, Buyer shall pay Seller for each unit of the Deficiency an amount equal to the positive difference, if any, of the Contract Price </w:t>
      </w:r>
      <w:r>
        <w:rPr>
          <w:rFonts w:cs="Arial Narrow" w:ascii="Arial Narrow" w:hAnsi="Arial Narrow"/>
          <w:sz w:val="18"/>
          <w:u w:val="single"/>
        </w:rPr>
        <w:t>less</w:t>
      </w:r>
      <w:r>
        <w:rPr>
          <w:rFonts w:cs="Arial Narrow" w:ascii="Arial Narrow" w:hAnsi="Arial Narrow"/>
          <w:sz w:val="18"/>
        </w:rPr>
        <w:t xml:space="preserve"> the Sales Price, </w:t>
      </w:r>
      <w:r>
        <w:rPr>
          <w:rFonts w:cs="Arial Narrow" w:ascii="Arial Narrow" w:hAnsi="Arial Narrow"/>
          <w:sz w:val="18"/>
          <w:u w:val="single"/>
        </w:rPr>
        <w:t>plus</w:t>
      </w:r>
      <w:r>
        <w:rPr>
          <w:rFonts w:cs="Arial Narrow" w:ascii="Arial Narrow" w:hAnsi="Arial Narrow"/>
          <w:sz w:val="18"/>
        </w:rPr>
        <w:t xml:space="preserve"> (i) any additional transportation costs incurred by Seller due to such failure, and (ii) Legal Costs incurred by Seller.</w:t>
      </w:r>
    </w:p>
    <w:p>
      <w:pPr>
        <w:pStyle w:val="Normal"/>
        <w:tabs>
          <w:tab w:val="clear" w:pos="720"/>
          <w:tab w:val="left" w:pos="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both"/>
        <w:rPr/>
      </w:pPr>
      <w:r>
        <w:rPr>
          <w:rFonts w:cs="Arial Narrow" w:ascii="Arial Narrow" w:hAnsi="Arial Narrow"/>
          <w:sz w:val="18"/>
        </w:rPr>
        <w:t>(c) If Buyer determines that there is an unperformed Seller delivery requirement or nonconformity with contract specification standards (collectively a “</w:t>
      </w:r>
      <w:r>
        <w:rPr>
          <w:rFonts w:cs="Arial Narrow" w:ascii="Arial Narrow" w:hAnsi="Arial Narrow"/>
          <w:sz w:val="18"/>
          <w:u w:val="single"/>
        </w:rPr>
        <w:t>Defect</w:t>
      </w:r>
      <w:r>
        <w:rPr>
          <w:rFonts w:cs="Arial Narrow" w:ascii="Arial Narrow" w:hAnsi="Arial Narrow"/>
          <w:sz w:val="18"/>
        </w:rPr>
        <w:t>”), Buyer shall follow the Claims procedures described on Appendix I hereto, and if Buyer properly complies therewith, then, in addition to any other remedies available to it under the Agreement, Buyer shall have the right to elect one of the following:  (i) reject any portion of Commodity that has not yet been transported from the Delivery Point (the “Defective Shipment”), (ii) accept the Defective Shipment and pay Seller a discounted Price in compensation for the Defect, as agreed to by the Parties, or failing agreement by the Parties within 10 days, as determined by the Valuation Expert, or (iii) if Buyer has already transported the Defective Shipment from the Delivery Point and paid for same by the time of discovering the Defect, Buyer shall be entitled to set-off against current and future deliveries of the Commodity, the amount by which the Defect has devalued the Commodity, as agreed to by the Parties, or failing agreement by the Parties within 10 days, as determined by the Valuation Expert.  “</w:t>
      </w:r>
      <w:r>
        <w:rPr>
          <w:rFonts w:cs="Arial Narrow" w:ascii="Arial Narrow" w:hAnsi="Arial Narrow"/>
          <w:sz w:val="18"/>
          <w:u w:val="single"/>
        </w:rPr>
        <w:t>Valuation Expert</w:t>
      </w:r>
      <w:r>
        <w:rPr>
          <w:rFonts w:cs="Arial Narrow" w:ascii="Arial Narrow" w:hAnsi="Arial Narrow"/>
          <w:sz w:val="18"/>
        </w:rPr>
        <w:t xml:space="preserve">” means </w:t>
      </w:r>
      <w:r>
        <w:rPr>
          <w:rFonts w:cs="Arial Narrow" w:ascii="Arial Narrow" w:hAnsi="Arial Narrow"/>
          <w:b/>
          <w:bCs/>
          <w:sz w:val="18"/>
        </w:rPr>
        <w:t>SGS Group or an affiliate thereof, unless otherwise set forth in a Confirmation</w:t>
      </w:r>
      <w:r>
        <w:rPr>
          <w:rFonts w:cs="Arial Narrow" w:ascii="Arial Narrow" w:hAnsi="Arial Narrow"/>
          <w:sz w:val="18"/>
        </w:rPr>
        <w:t>.</w:t>
      </w:r>
    </w:p>
    <w:p>
      <w:pPr>
        <w:pStyle w:val="BodyText"/>
        <w:jc w:val="both"/>
        <w:rPr>
          <w:rFonts w:ascii="Arial Narrow" w:hAnsi="Arial Narrow" w:cs="Arial Narrow"/>
          <w:sz w:val="18"/>
        </w:rPr>
      </w:pPr>
      <w:r>
        <w:rPr>
          <w:rFonts w:cs="Arial Narrow" w:ascii="Arial Narrow" w:hAnsi="Arial Narrow"/>
          <w:sz w:val="18"/>
        </w:rPr>
        <w:t>(d) Payment of amounts, if any, determined under paragraph (a) or (b) of this subsection shall be made within 5 days after an invoice is received by the Party obligated to make the payment.  All such determinations shall be made in a commercially reasonable manner, and the non-Defaulting Party shall not be required to enter into any actual replacement transaction in order to determine the Replacement Price or Sales Price.  Once a Party timely pays an amount owed pursuant to (a) or (b) above, its earlier failure to perform shall cease to constitute an action or failure leading to an Event of Default or Early Termination due to Extended Force Majeure.</w:t>
      </w:r>
    </w:p>
    <w:p>
      <w:pPr>
        <w:pStyle w:val="BodyText"/>
        <w:jc w:val="both"/>
        <w:rPr/>
      </w:pPr>
      <w:r>
        <w:rPr>
          <w:rFonts w:cs="Arial Narrow" w:ascii="Arial Narrow" w:hAnsi="Arial Narrow"/>
          <w:b/>
          <w:bCs/>
          <w:sz w:val="18"/>
        </w:rPr>
        <w:t>6.2</w:t>
        <w:tab/>
        <w:t>Termination Following an Event of Default or Extended Force Majeure.</w:t>
      </w:r>
      <w:r>
        <w:rPr>
          <w:rFonts w:cs="Arial Narrow" w:ascii="Arial Narrow" w:hAnsi="Arial Narrow"/>
          <w:sz w:val="18"/>
        </w:rPr>
        <w:t xml:space="preserve">  Upon the occurrence and during the continuation of an Event of Default or an Extended Force Majeure, the Party that did not cause the Event of Default or who did not claim Force Majeure (the “Performing Party”) may issue notice (i) specifying the relevant Event of Default or, in the case of an Extended Force Majeure, specifying all Transactions subject to early termination due thereto (the “</w:t>
      </w:r>
      <w:r>
        <w:rPr>
          <w:rFonts w:cs="Arial Narrow" w:ascii="Arial Narrow" w:hAnsi="Arial Narrow"/>
          <w:sz w:val="18"/>
          <w:u w:val="single"/>
        </w:rPr>
        <w:t>Affected Transactions”</w:t>
      </w:r>
      <w:r>
        <w:rPr>
          <w:rFonts w:cs="Arial Narrow" w:ascii="Arial Narrow" w:hAnsi="Arial Narrow"/>
          <w:sz w:val="18"/>
        </w:rPr>
        <w:t>) and (ii) designating the day (which must not by later than 60 days after the notice date) on which all Transactions, in the case of an Event of Default, or all Affected Transactions, in the case of an Extended Force Majeure, shall terminate (the “</w:t>
      </w:r>
      <w:r>
        <w:rPr>
          <w:rFonts w:cs="Arial Narrow" w:ascii="Arial Narrow" w:hAnsi="Arial Narrow"/>
          <w:sz w:val="18"/>
          <w:u w:val="single"/>
        </w:rPr>
        <w:t>Early Termination Date</w:t>
      </w:r>
      <w:r>
        <w:rPr>
          <w:rFonts w:cs="Arial Narrow" w:ascii="Arial Narrow" w:hAnsi="Arial Narrow"/>
          <w:sz w:val="18"/>
        </w:rPr>
        <w:t>”).</w:t>
      </w:r>
    </w:p>
    <w:p>
      <w:pPr>
        <w:pStyle w:val="Normal"/>
        <w:numPr>
          <w:ilvl w:val="1"/>
          <w:numId w:val="2"/>
        </w:numPr>
        <w:ind w:hanging="0" w:start="0" w:end="0"/>
        <w:jc w:val="both"/>
        <w:rPr>
          <w:rFonts w:ascii="Arial Narrow" w:hAnsi="Arial Narrow" w:cs="Arial Narrow"/>
          <w:sz w:val="18"/>
        </w:rPr>
      </w:pPr>
      <w:r>
        <w:rPr>
          <w:rFonts w:cs="Arial Narrow" w:ascii="Arial Narrow" w:hAnsi="Arial Narrow"/>
          <w:b/>
          <w:bCs/>
          <w:sz w:val="18"/>
        </w:rPr>
        <w:t>Event of Default or Extended Force Majeure Termination Payment</w:t>
      </w:r>
      <w:r>
        <w:rPr>
          <w:rFonts w:cs="Arial Narrow" w:ascii="Arial Narrow" w:hAnsi="Arial Narrow"/>
          <w:sz w:val="18"/>
        </w:rPr>
        <w:t>.  When an Early Termination Date results from an Event of Default or an Extended Force Majeure, the Defaulting Party or Force Majeure Claming Party shall be obligated to pay the Loss incurred by the Performing Party, as computed by the Performing Party (the “Termination Payment”).  The Termination Payment will be determined as of the Early Termination Date or, if not reasonably practicable, as of the earliest date thereafter that is reasonably practicable.  The Performing Party’s Loss may be (but need not be) determined by reference to quotations of relevant rates or prices from one or more leading dealers or indexes in the relevant markets.  The Termination Payment is due within 5 days after a Party’s receipt of the statement (a) showing in reasonable detail such calculation of Loss and (b) giving details of the relevant account to which any amount payable to it is to be paid, together with interest thereon before as well as after judgment or award from and including the relevant Early Termination Date to the date such amount is paid at the Interest Rate. If the Loss is a positive number, the Defaulting Party or Force Majeure claiming Party will pay the Termination Payment to the to the Performing Party; if the Loss is a negative number, the Performing Party will pay the absolute value of that amount to the Defaulting Party or Force Majeure Claiming Party.</w:t>
      </w:r>
    </w:p>
    <w:p>
      <w:pPr>
        <w:pStyle w:val="BodyText"/>
        <w:jc w:val="both"/>
        <w:rPr>
          <w:rFonts w:ascii="Arial Narrow" w:hAnsi="Arial Narrow" w:cs="Arial Narrow"/>
          <w:spacing w:val="-2"/>
          <w:sz w:val="18"/>
        </w:rPr>
      </w:pPr>
      <w:r>
        <w:rPr>
          <w:rFonts w:cs="Arial Narrow" w:ascii="Arial Narrow" w:hAnsi="Arial Narrow"/>
          <w:b/>
          <w:bCs/>
          <w:sz w:val="18"/>
        </w:rPr>
        <w:t>6.4</w:t>
        <w:tab/>
        <w:t>Termination Upon Imposition of a Trade Duty Increase or Trade Restriction.</w:t>
      </w:r>
      <w:r>
        <w:rPr>
          <w:rFonts w:cs="Arial Narrow" w:ascii="Arial Narrow" w:hAnsi="Arial Narrow"/>
          <w:sz w:val="18"/>
        </w:rPr>
        <w:t xml:space="preserve">  If a Trade Duty Increase affects a Transaction, the Party who is or who is deemed to be the Importer of Record Party may, promptly upon becoming aware of same, notify the other Party, specifying the nature of the Trade Duty Increase and identifying and stating the effect that such Trade Duty Increase shall have on each identified Transaction (each an “</w:t>
      </w:r>
      <w:r>
        <w:rPr>
          <w:rFonts w:cs="Arial Narrow" w:ascii="Arial Narrow" w:hAnsi="Arial Narrow"/>
          <w:sz w:val="18"/>
          <w:u w:val="single"/>
        </w:rPr>
        <w:t>Affected Transaction</w:t>
      </w:r>
      <w:r>
        <w:rPr>
          <w:rFonts w:cs="Arial Narrow" w:ascii="Arial Narrow" w:hAnsi="Arial Narrow"/>
          <w:sz w:val="18"/>
        </w:rPr>
        <w:t>”), and will supply additional information about the Trade Duty Increase as the other Party reasonably requests.  If a Trade Restriction affects a Transaction, either Party may notify the other Party, specifying the nature thereof and identifying and stating the effect that such Trade Restriction shall have on each identified Transaction, each also considered an Affected Transaction.  As soon as reasonably possible during the 30 days following issuance of such either of the foregoing notices (the “</w:t>
      </w:r>
      <w:r>
        <w:rPr>
          <w:rFonts w:cs="Arial Narrow" w:ascii="Arial Narrow" w:hAnsi="Arial Narrow"/>
          <w:sz w:val="18"/>
          <w:u w:val="single"/>
        </w:rPr>
        <w:t>Cure Period</w:t>
      </w:r>
      <w:r>
        <w:rPr>
          <w:rFonts w:cs="Arial Narrow" w:ascii="Arial Narrow" w:hAnsi="Arial Narrow"/>
          <w:sz w:val="18"/>
        </w:rPr>
        <w:t xml:space="preserve">”), the Parties shall meet to consider and discuss their respective abilities (a) to accept or make delivery of the Commodity at an alternative Delivery Point, (b) to accept or make delivery from a source located in an alternate jurisdiction, and/or (c) to amend each Affected Transaction in a manner that resolves the Termination Event in a mutually acceptable manner.  If the Parties fail to reach agreement during the Cure Period, either the Importer of Record, in the case of a Trade Duty Increase, or either Party, in the case of a Trade Restriction may (in respect of </w:t>
      </w:r>
      <w:r>
        <w:rPr>
          <w:rFonts w:cs="Arial Narrow" w:ascii="Arial Narrow" w:hAnsi="Arial Narrow"/>
          <w:sz w:val="18"/>
          <w:u w:val="single"/>
        </w:rPr>
        <w:t>all</w:t>
      </w:r>
      <w:r>
        <w:rPr>
          <w:rFonts w:cs="Arial Narrow" w:ascii="Arial Narrow" w:hAnsi="Arial Narrow"/>
          <w:sz w:val="18"/>
        </w:rPr>
        <w:t xml:space="preserve"> Affected Transactions only), designate an Early Termination Date by written notice to the other Party, which date may not be early than the date that the applicable Trade Duty Increase or Trade Restriction would commence to materially effect a Party to an Affected Transaction.  No further payments or deliveries in respect of the Affected Transactions will be required to be made, from and after the Early Termination Date; furthermore, all agreements documenting or applicable specifically to each Affected Transaction shall terminate and each Parties’ duties and obligations thereunder (as to the Affected Transactions) shall be terminated and considered discharged, except for those covenants that by their terms are intended to survive termination of a Confirmation or Transaction.</w:t>
      </w:r>
    </w:p>
    <w:p>
      <w:pPr>
        <w:pStyle w:val="BodyText"/>
        <w:jc w:val="both"/>
        <w:rPr/>
      </w:pPr>
      <w:r>
        <w:rPr>
          <w:rFonts w:cs="Arial Narrow" w:ascii="Arial Narrow" w:hAnsi="Arial Narrow"/>
          <w:b/>
          <w:bCs/>
          <w:sz w:val="18"/>
        </w:rPr>
        <w:t>6.5</w:t>
        <w:tab/>
        <w:t xml:space="preserve">Set-off.  </w:t>
      </w:r>
      <w:r>
        <w:rPr>
          <w:rFonts w:cs="Arial Narrow" w:ascii="Arial Narrow" w:hAnsi="Arial Narrow"/>
          <w:sz w:val="18"/>
        </w:rPr>
        <w:t>(a</w:t>
      </w:r>
      <w:r>
        <w:rPr>
          <w:rFonts w:cs="Arial Narrow" w:ascii="Arial Narrow" w:hAnsi="Arial Narrow"/>
          <w:sz w:val="18"/>
          <w:szCs w:val="18"/>
        </w:rPr>
        <w:t>)</w:t>
      </w:r>
      <w:r>
        <w:rPr>
          <w:rFonts w:cs="Arial Narrow" w:ascii="Arial Narrow" w:hAnsi="Arial Narrow"/>
          <w:b/>
          <w:bCs/>
          <w:sz w:val="18"/>
          <w:szCs w:val="18"/>
        </w:rPr>
        <w:t xml:space="preserve"> </w:t>
      </w:r>
      <w:r>
        <w:rPr>
          <w:rFonts w:cs="Arial Narrow" w:ascii="Arial Narrow" w:hAnsi="Arial Narrow"/>
          <w:sz w:val="18"/>
          <w:szCs w:val="18"/>
        </w:rPr>
        <w:t xml:space="preserve">If an Early Termination Date occurs, the Performing Party may, at is sole option, setoff any amounts Owed by the Defaulting Party or its Affiliates (collectively the “Non-Performing Party”) to the Performing Party or its Affiliates as to any Transactions or under any other agreements, instruments or undertakings </w:t>
      </w:r>
      <w:r>
        <w:rPr>
          <w:rFonts w:cs="Arial Narrow" w:ascii="Arial Narrow" w:hAnsi="Arial Narrow"/>
          <w:sz w:val="18"/>
        </w:rPr>
        <w:t>(collectively with the Transactions, the “</w:t>
      </w:r>
      <w:r>
        <w:rPr>
          <w:rFonts w:cs="Arial Narrow" w:ascii="Arial Narrow" w:hAnsi="Arial Narrow"/>
          <w:sz w:val="18"/>
          <w:u w:val="single"/>
        </w:rPr>
        <w:t>Set-off Transactions</w:t>
      </w:r>
      <w:r>
        <w:rPr>
          <w:rFonts w:cs="Arial Narrow" w:ascii="Arial Narrow" w:hAnsi="Arial Narrow"/>
          <w:sz w:val="18"/>
        </w:rPr>
        <w:t>”)</w:t>
      </w:r>
      <w:r>
        <w:rPr>
          <w:rFonts w:cs="Arial Narrow" w:ascii="Arial Narrow" w:hAnsi="Arial Narrow"/>
          <w:sz w:val="18"/>
          <w:szCs w:val="18"/>
        </w:rPr>
        <w:t>, against any amounts Owed by the Performing Party or its Affiliates to the Non-Performing Party.  The obligations of the above-named persons in respect of such amounts shall be deemed satisfied and discharged to the extent of any such setoff exercised by a Performing Party or its Affiliates.  The term “</w:t>
      </w:r>
      <w:r>
        <w:rPr>
          <w:rFonts w:cs="Arial Narrow" w:ascii="Arial Narrow" w:hAnsi="Arial Narrow"/>
          <w:sz w:val="18"/>
          <w:szCs w:val="18"/>
          <w:u w:val="single"/>
        </w:rPr>
        <w:t>Owed</w:t>
      </w:r>
      <w:r>
        <w:rPr>
          <w:rFonts w:cs="Arial Narrow" w:ascii="Arial Narrow" w:hAnsi="Arial Narrow"/>
          <w:sz w:val="18"/>
          <w:szCs w:val="18"/>
        </w:rPr>
        <w:t>” means that an amount owed or otherwise accrued and payable (regardless of whether it has been or could be invoiced) as of the Early Termination Date.  If an obligation is not liquidated or is unascertained, the Performing Party shall estimate the obligation and setoff in respect of the estimate.  This provision does not create a charge or other security interest, and the remedies of this provision are in addition to all other remedies including any right of setoff, netting, off-set, combination of accounts, counterclaim, lien or other right to which a Party is otherwise entitled (whether by operation of law, contract or otherwise).</w:t>
      </w:r>
    </w:p>
    <w:p>
      <w:pPr>
        <w:pStyle w:val="BodyText"/>
        <w:jc w:val="both"/>
        <w:rPr/>
      </w:pPr>
      <w:r>
        <w:rPr>
          <w:rFonts w:cs="Arial Narrow" w:ascii="Arial Narrow" w:hAnsi="Arial Narrow"/>
          <w:b/>
          <w:sz w:val="18"/>
        </w:rPr>
        <w:t>6.6</w:t>
        <w:tab/>
        <w:t>Damages Stipulation</w:t>
      </w:r>
      <w:r>
        <w:rPr>
          <w:rFonts w:cs="Arial Narrow" w:ascii="Arial Narrow" w:hAnsi="Arial Narrow"/>
          <w:sz w:val="18"/>
        </w:rPr>
        <w:t>.  Each Party stipulates that the payment obligations set forth in this Section 6 for the damages incurred are a reasonable approximation of the anticipated harm or loss and each acknowledge the difficulty of estimation or calculation of actual damages, and each Party hereby waives the right to contest such payments as unenforceable, an unreasonable penalty or otherwise.</w:t>
      </w:r>
    </w:p>
    <w:p>
      <w:pPr>
        <w:pStyle w:val="BodyText"/>
        <w:jc w:val="both"/>
        <w:rPr/>
      </w:pPr>
      <w:r>
        <w:rPr>
          <w:rFonts w:cs="Arial Narrow" w:ascii="Arial Narrow" w:hAnsi="Arial Narrow"/>
          <w:b/>
          <w:sz w:val="18"/>
        </w:rPr>
        <w:t>6.7</w:t>
        <w:tab/>
        <w:t xml:space="preserve">Expenses. </w:t>
      </w:r>
      <w:r>
        <w:rPr>
          <w:rFonts w:cs="Arial Narrow" w:ascii="Arial Narrow" w:hAnsi="Arial Narrow"/>
          <w:sz w:val="18"/>
        </w:rPr>
        <w:t>The Defaulting Party will, on demand, pay or reimburse the Non-Defaulting Party for all of the Non-Defaulting Party’s reasonable out-of-pocket expenses, including Legal Costs, incurred in the enforcement and protection of the Non-Defaulting Party’s rights under any Transaction by reason of an Event of Default or a Termination Event.</w:t>
      </w:r>
    </w:p>
    <w:p>
      <w:pPr>
        <w:pStyle w:val="BodyText"/>
        <w:jc w:val="both"/>
        <w:rPr/>
      </w:pPr>
      <w:r>
        <w:rPr>
          <w:rFonts w:cs="Arial Narrow" w:ascii="Arial Narrow" w:hAnsi="Arial Narrow"/>
          <w:b/>
          <w:sz w:val="18"/>
        </w:rPr>
        <w:t>6.8</w:t>
        <w:tab/>
        <w:t>Limitation of Liability</w:t>
      </w:r>
      <w:r>
        <w:rPr>
          <w:rFonts w:cs="Arial Narrow" w:ascii="Arial Narrow" w:hAnsi="Arial Narrow"/>
          <w:sz w:val="18"/>
        </w:rPr>
        <w:t xml:space="preserve">. THE PARTIES CONFIRM THAT THE EXPRESS REMEDIES AND MEASURES OF DAMAGES PROVIDED IN THESE TERMS SATISFY THE ESSENTIAL PURPOSES HEREOF.  FOR BREACH OF ANY PROVISION FOR WHICH AN EXPRESS REMEDY OR MEASURE OF DAMAGES IS HEREIN PROVIDED, SUCH EXPRESS REMEDY OR MEASURE OF DAMAGES SHALL BE THE SOLE AND EXCLUSIVE REMEDY, THE LIABLE PARTY’S LIABILITY SHALL BE LIMITED AS SET FORTH IN SUCH PROVISION, AND ALL OTHER REMEDIES OR DAMAGES AT LAW OR IN EQUITY ARE WAIVED UNLESS OTHERWISE PROVIDED IN THESE TERMS.  IF NO REMEDY OR MEASURE OF DAMAGES IS EXPRESSLY HEREIN PROVIDED, THE LIABLE PARTY’S LIABILITY SHALL BE LIMITED TO DIRECT ACTUAL DAMAGES ONLY.  </w:t>
      </w:r>
      <w:r>
        <w:rPr>
          <w:rFonts w:cs="Arial Narrow" w:ascii="Arial Narrow" w:hAnsi="Arial Narrow"/>
          <w:b/>
          <w:sz w:val="18"/>
        </w:rPr>
        <w:t>NOTWITHSTANDING ANY OTHER PROVISION IN THESE TERMS OR IN ANY TRANSACTION, NEITHER PARTY SHALL BE LIABLE TO THE OTHER FOR CONSEQUENTIAL, INCIDENTAL, PUNITIVE, EXEMPLARY OR INDIRECT DAMAGES, LOST PROFITS, OR BUSINESS INTERRUPTION DAMAGES, WHETHER BY STATUTE, IN TORT OR IN CONTRACT, UNDER ANY TRANSACTION, ANY INDEMNITY PROVISION OR OTHERWISE.</w:t>
      </w:r>
    </w:p>
    <w:p>
      <w:pPr>
        <w:pStyle w:val="BodyTextIndent"/>
        <w:ind w:start="0" w:end="0"/>
        <w:rPr>
          <w:rFonts w:ascii="Arial Narrow" w:hAnsi="Arial Narrow" w:cs="Arial Narrow"/>
          <w:b/>
          <w:bCs/>
          <w:sz w:val="18"/>
        </w:rPr>
      </w:pPr>
      <w:r>
        <w:rPr>
          <w:rFonts w:cs="Arial Narrow" w:ascii="Arial Narrow" w:hAnsi="Arial Narrow"/>
          <w:b/>
          <w:bCs/>
          <w:sz w:val="18"/>
        </w:rPr>
        <w:t xml:space="preserve">6.9 </w:t>
      </w:r>
      <w:r>
        <w:rPr>
          <w:rFonts w:cs="Arial Narrow" w:ascii="Arial Narrow" w:hAnsi="Arial Narrow"/>
          <w:b/>
          <w:bCs/>
          <w:caps/>
          <w:sz w:val="18"/>
        </w:rPr>
        <w:t>Indemnification.  Subject to any limitations in these Terms, each Party shall hold harmless and indemnify the other Party for any damages, losses, costs, fines or penalties incurred by the other Party resulting from a Party’s breach of these Terms of any Transaction.</w:t>
      </w:r>
    </w:p>
    <w:p>
      <w:pPr>
        <w:pStyle w:val="MasterHeading"/>
        <w:numPr>
          <w:ilvl w:val="0"/>
          <w:numId w:val="10"/>
        </w:numPr>
        <w:ind w:hanging="360" w:start="360" w:end="0"/>
        <w:rPr>
          <w:rFonts w:ascii="Arial Narrow" w:hAnsi="Arial Narrow" w:cs="Arial Narrow"/>
          <w:sz w:val="18"/>
        </w:rPr>
      </w:pPr>
      <w:r>
        <w:rPr>
          <w:rFonts w:cs="Arial Narrow" w:ascii="Arial Narrow" w:hAnsi="Arial Narrow"/>
          <w:sz w:val="18"/>
        </w:rPr>
        <w:t>Disputes</w:t>
      </w:r>
    </w:p>
    <w:p>
      <w:pPr>
        <w:pStyle w:val="Normal"/>
        <w:tabs>
          <w:tab w:val="clear" w:pos="720"/>
          <w:tab w:val="left" w:pos="360" w:leader="none"/>
        </w:tabs>
        <w:jc w:val="both"/>
        <w:rPr/>
      </w:pPr>
      <w:r>
        <w:rPr>
          <w:rFonts w:cs="Arial Narrow" w:ascii="Arial Narrow" w:hAnsi="Arial Narrow"/>
          <w:b/>
          <w:bCs/>
          <w:sz w:val="18"/>
        </w:rPr>
        <w:t>7.1</w:t>
        <w:tab/>
        <w:t>Binding Arbitration.</w:t>
        <w:tab/>
      </w:r>
      <w:r>
        <w:rPr>
          <w:rFonts w:cs="Arial Narrow" w:ascii="Arial Narrow" w:hAnsi="Arial Narrow"/>
          <w:sz w:val="18"/>
        </w:rPr>
        <w:t>DISPUTES RELATING TO ANY TRANSACTION SHALL BE RESOLVED BY ARBITRATION GOVERNED BY THE FEDERAL ARBITRATION ACT AND CONDUCTED IN ACCORDANCE WITH THE AMERICAN ARBITRATION ASSOCIATION (“</w:t>
      </w:r>
      <w:r>
        <w:rPr>
          <w:rFonts w:cs="Arial Narrow" w:ascii="Arial Narrow" w:hAnsi="Arial Narrow"/>
          <w:sz w:val="18"/>
          <w:u w:val="single"/>
        </w:rPr>
        <w:t>AAA</w:t>
      </w:r>
      <w:r>
        <w:rPr>
          <w:rFonts w:cs="Arial Narrow" w:ascii="Arial Narrow" w:hAnsi="Arial Narrow"/>
          <w:sz w:val="18"/>
        </w:rPr>
        <w:t>”) COMMERCIAL ARBITRATION RULES. EACH PARTY MAY APPOINT ONE OF THE THREE ARBITRATORS, WHO SHALL TOGETHER APPOINT A THIRD NEUTRAL ARBITRATOR HAVING AT LEAST 7 YEARS EXPERIENCE WITH THE ARBITRATION OF COMMERCIAL CONTRACTUAL DISPUTES. ARBITRATION HEARINGS SHALL BE HELD IN HOUSTON, TEXAS. THE PARTIES WAIVE ANY RIGHT OF APPEAL TO ANY COURT.  THE ARBITRATORS SHALL HAVE NO AUTHORITY TO AWARD CONSEQUENTIAL, SPECIAL, INDIRECT, TREBLE, EXEMPLARY OR PUNITIVE DAMAGES OF ANY TYPE. THE ARBITRATORS’ ORDERS AND DECISIONS MAY BE ENFORCED IN, AND JUDGMENT UPON ANY AWARD RENDERED IN ANY ARBITRATION PROCEEDING MAY BE CONFIRMED AND ENTERED BY ANY COURT.</w:t>
      </w:r>
    </w:p>
    <w:p>
      <w:pPr>
        <w:pStyle w:val="Normal"/>
        <w:numPr>
          <w:ilvl w:val="1"/>
          <w:numId w:val="3"/>
        </w:numPr>
        <w:jc w:val="both"/>
        <w:rPr>
          <w:rFonts w:ascii="Arial Narrow" w:hAnsi="Arial Narrow" w:cs="Arial Narrow"/>
          <w:sz w:val="18"/>
        </w:rPr>
      </w:pPr>
      <w:r>
        <w:rPr>
          <w:rFonts w:cs="Arial Narrow" w:ascii="Arial Narrow" w:hAnsi="Arial Narrow"/>
          <w:b/>
          <w:sz w:val="18"/>
        </w:rPr>
        <w:t>Submission to Jurisdiction.</w:t>
      </w:r>
    </w:p>
    <w:p>
      <w:pPr>
        <w:pStyle w:val="BodyTextIndent2"/>
        <w:ind w:start="0" w:end="0"/>
        <w:rPr>
          <w:rFonts w:ascii="Arial Narrow" w:hAnsi="Arial Narrow" w:cs="Arial Narrow"/>
          <w:b/>
          <w:bCs/>
          <w:sz w:val="18"/>
        </w:rPr>
      </w:pPr>
      <w:r>
        <w:rPr>
          <w:rFonts w:cs="Arial Narrow" w:ascii="Arial Narrow" w:hAnsi="Arial Narrow"/>
          <w:sz w:val="18"/>
        </w:rPr>
        <w:t>Each Party  consents to the non-exclusive personal jurisdiction of the courts located in the Borough of Manhattan, New York; agrees that venue properly lies in such jurisdiction; and waives any claim that any such action should be dismissed on grounds of inconvenient forum or that any such action should be transferred to any court or tribunal outside such jurisdiction. A judgment by the above named court shall be conclusive and may be enforced in other jurisdictions in any manner provided by law, each Party waiving the defense that a judgment obtained in such jurisdiction is invalid or unenforceable. Service of process upon a Party may be made by complying with the Notices provision of these Terms.  If a Party or its assets acquires immunity from suit, execution, attachment or other legal process, such Party expressly and irrevocably waives such immunity in respect of all Transactions.</w:t>
      </w:r>
    </w:p>
    <w:p>
      <w:pPr>
        <w:pStyle w:val="MasterHeading"/>
        <w:numPr>
          <w:ilvl w:val="0"/>
          <w:numId w:val="10"/>
        </w:numPr>
        <w:tabs>
          <w:tab w:val="clear" w:pos="360"/>
          <w:tab w:val="left" w:pos="450" w:leader="none"/>
        </w:tabs>
        <w:ind w:hanging="720" w:start="720" w:end="0"/>
        <w:rPr>
          <w:rFonts w:ascii="Arial Narrow" w:hAnsi="Arial Narrow" w:cs="Arial Narrow"/>
          <w:sz w:val="18"/>
        </w:rPr>
      </w:pPr>
      <w:r>
        <w:rPr>
          <w:rFonts w:cs="Arial Narrow" w:ascii="Arial Narrow" w:hAnsi="Arial Narrow"/>
          <w:sz w:val="18"/>
        </w:rPr>
        <w:t>Miscellaneous</w:t>
      </w:r>
    </w:p>
    <w:p>
      <w:pPr>
        <w:pStyle w:val="Normal"/>
        <w:tabs>
          <w:tab w:val="clear" w:pos="720"/>
          <w:tab w:val="left" w:pos="630" w:leader="none"/>
        </w:tabs>
        <w:jc w:val="both"/>
        <w:rPr/>
      </w:pPr>
      <w:r>
        <w:rPr>
          <w:rFonts w:cs="Arial Narrow" w:ascii="Arial Narrow" w:hAnsi="Arial Narrow"/>
          <w:b/>
          <w:sz w:val="18"/>
        </w:rPr>
        <w:t>8.1</w:t>
        <w:tab/>
        <w:t>Successors and Assigns; Assignment.</w:t>
      </w:r>
      <w:r>
        <w:rPr>
          <w:rFonts w:cs="Arial Narrow" w:ascii="Arial Narrow" w:hAnsi="Arial Narrow"/>
          <w:sz w:val="18"/>
        </w:rPr>
        <w:t xml:space="preserve"> These Terms shall inure to the benefit of and be binding upon the Parties and their respective successors and permitted assigns. Neither Party shall assign a Transaction or any obligations thereunder without the prior written consent of the other Party;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that</w:t>
      </w:r>
      <w:r>
        <w:rPr>
          <w:rFonts w:cs="Arial Narrow" w:ascii="Arial Narrow" w:hAnsi="Arial Narrow"/>
          <w:sz w:val="18"/>
        </w:rPr>
        <w:t xml:space="preserve">, either Party may (a) pledge or encumber a Transaction in connection with any financing, (b) transfer or assign a Transaction its Affiliate, or (c) transfer a Transaction to an entity succeeding to substantially all of its assets;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further</w:t>
      </w:r>
      <w:r>
        <w:rPr>
          <w:rFonts w:cs="Arial Narrow" w:ascii="Arial Narrow" w:hAnsi="Arial Narrow"/>
          <w:sz w:val="18"/>
        </w:rPr>
        <w:t xml:space="preserve"> </w:t>
      </w:r>
      <w:r>
        <w:rPr>
          <w:rFonts w:cs="Arial Narrow" w:ascii="Arial Narrow" w:hAnsi="Arial Narrow"/>
          <w:sz w:val="18"/>
          <w:u w:val="single"/>
        </w:rPr>
        <w:t>that</w:t>
      </w:r>
      <w:r>
        <w:rPr>
          <w:rFonts w:cs="Arial Narrow" w:ascii="Arial Narrow" w:hAnsi="Arial Narrow"/>
          <w:sz w:val="18"/>
        </w:rPr>
        <w:t>, such assignment shall not relieve the assignor from liability for full performance under these Terms and the Transactions, and such assignment must not trigger a Merger Event.</w:t>
      </w:r>
    </w:p>
    <w:p>
      <w:pPr>
        <w:pStyle w:val="BodyText3"/>
        <w:tabs>
          <w:tab w:val="clear" w:pos="360"/>
          <w:tab w:val="left" w:pos="630" w:leader="none"/>
        </w:tabs>
        <w:rPr/>
      </w:pPr>
      <w:r>
        <w:rPr>
          <w:rFonts w:cs="Arial Narrow" w:ascii="Arial Narrow" w:hAnsi="Arial Narrow"/>
          <w:bCs/>
          <w:sz w:val="18"/>
        </w:rPr>
        <w:t>8.2</w:t>
        <w:tab/>
        <w:t>Notices.</w:t>
      </w:r>
      <w:r>
        <w:rPr>
          <w:rFonts w:cs="Arial Narrow" w:ascii="Arial Narrow" w:hAnsi="Arial Narrow"/>
          <w:b w:val="false"/>
          <w:sz w:val="18"/>
        </w:rPr>
        <w:t xml:space="preserve">  All notices, statements or payments shall be made to the addresses specified in the Confirmation.  Unless expressly provided otherwise, notices shall be in writing and delivered by letter, facsimile or other documentary form.  Notice by facsimile, hand or overnight delivery shall be deemed to have been received by the close of business on the day on which is received.</w:t>
      </w:r>
    </w:p>
    <w:p>
      <w:pPr>
        <w:pStyle w:val="Normal"/>
        <w:tabs>
          <w:tab w:val="left" w:pos="720" w:leader="none"/>
        </w:tabs>
        <w:jc w:val="both"/>
        <w:rPr/>
      </w:pPr>
      <w:r>
        <w:rPr>
          <w:rFonts w:cs="Arial Narrow" w:ascii="Arial Narrow" w:hAnsi="Arial Narrow"/>
          <w:b/>
          <w:sz w:val="18"/>
        </w:rPr>
        <w:t>8.3</w:t>
        <w:tab/>
        <w:t>Confidentiality</w:t>
      </w:r>
      <w:r>
        <w:rPr>
          <w:rFonts w:cs="Arial Narrow" w:ascii="Arial Narrow" w:hAnsi="Arial Narrow"/>
          <w:sz w:val="18"/>
        </w:rPr>
        <w:t>.  Neither Party shall disclose the commercial and/or credit terms of any Transaction to a third party (other than to its and its Affiliates’ employees, advisors or prospective purchaser of substantially all of its assets), except in order to comply with any applicable law, order, regulation or exchange rule.</w:t>
      </w:r>
    </w:p>
    <w:p>
      <w:pPr>
        <w:pStyle w:val="Normal"/>
        <w:jc w:val="both"/>
        <w:rPr>
          <w:rFonts w:ascii="Arial Narrow" w:hAnsi="Arial Narrow" w:cs="Arial Narrow"/>
          <w:b/>
          <w:bCs/>
          <w:sz w:val="18"/>
        </w:rPr>
      </w:pPr>
      <w:r>
        <w:rPr>
          <w:rFonts w:cs="Arial Narrow" w:ascii="Arial Narrow" w:hAnsi="Arial Narrow"/>
          <w:b/>
          <w:bCs/>
          <w:sz w:val="18"/>
        </w:rPr>
        <w:t>8.4</w:t>
        <w:tab/>
        <w:t>Governing Law; Construction</w:t>
      </w:r>
      <w:r>
        <w:rPr>
          <w:rFonts w:cs="Arial Narrow" w:ascii="Arial Narrow" w:hAnsi="Arial Narrow"/>
          <w:sz w:val="18"/>
        </w:rPr>
        <w:t>.  THESE TERMS AND EACH TRANSACTION ARE GOVERNED BY, CONSTRUED, ENFORCED AND PERFORMED IN ACCORDANCE WITH THE INTERNAL LAWS OF NEW YORK. Any situations not specially addressed either in these Terms or any Confirmation will be governed and construed under Incoterms 2000. The Parties agree that the United Nations Convention on Contracts for the International Sale of Goods 1980 shall not apply to or govern any Transactions.</w:t>
      </w:r>
    </w:p>
    <w:p>
      <w:pPr>
        <w:pStyle w:val="Normal"/>
        <w:tabs>
          <w:tab w:val="clear" w:pos="720"/>
          <w:tab w:val="left" w:pos="-720" w:leader="none"/>
          <w:tab w:val="left" w:pos="450" w:leader="none"/>
          <w:tab w:val="left" w:pos="900" w:leader="none"/>
        </w:tabs>
        <w:jc w:val="both"/>
        <w:rPr>
          <w:rFonts w:ascii="Arial Narrow" w:hAnsi="Arial Narrow" w:cs="Arial Narrow"/>
          <w:b/>
          <w:sz w:val="18"/>
        </w:rPr>
      </w:pPr>
      <w:r>
        <w:rPr>
          <w:rFonts w:cs="Arial Narrow" w:ascii="Arial Narrow" w:hAnsi="Arial Narrow"/>
          <w:b/>
          <w:sz w:val="18"/>
        </w:rPr>
        <w:t>8.5</w:t>
        <w:tab/>
        <w:t>Compliance With U.S. Laws And Regulations.</w:t>
      </w:r>
    </w:p>
    <w:p>
      <w:pPr>
        <w:pStyle w:val="Normal"/>
        <w:tabs>
          <w:tab w:val="left" w:pos="-720" w:leader="none"/>
          <w:tab w:val="left" w:pos="720" w:leader="none"/>
          <w:tab w:val="left" w:pos="900" w:leader="none"/>
        </w:tabs>
        <w:jc w:val="both"/>
        <w:rPr/>
      </w:pPr>
      <w:r>
        <w:rPr>
          <w:rFonts w:cs="Arial Narrow" w:ascii="Arial Narrow" w:hAnsi="Arial Narrow"/>
          <w:sz w:val="18"/>
        </w:rPr>
        <w:t>(a)</w:t>
        <w:tab/>
        <w:t>Because ENA is subject to the laws and regulations of the United States of America (“</w:t>
      </w:r>
      <w:r>
        <w:rPr>
          <w:rFonts w:cs="Arial Narrow" w:ascii="Arial Narrow" w:hAnsi="Arial Narrow"/>
          <w:sz w:val="18"/>
          <w:u w:val="single"/>
        </w:rPr>
        <w:t>U.S. Laws</w:t>
      </w:r>
      <w:r>
        <w:rPr>
          <w:rFonts w:cs="Arial Narrow" w:ascii="Arial Narrow" w:hAnsi="Arial Narrow"/>
          <w:sz w:val="18"/>
        </w:rPr>
        <w:t>”), including but not limited to the Foreign Corrupt Practices Act, and laws restricting participation in boycotts, codified in the U.S. Export Administration Act and the U.S. Internal Revenue Code, Counterparty will cooperate and otherwise conduct its business and activities under all Transactions in a manner that ensures that ENA and its Affiliates shall not fail to comply with all applicable U.S. Laws.</w:t>
      </w:r>
    </w:p>
    <w:p>
      <w:pPr>
        <w:pStyle w:val="Normal"/>
        <w:jc w:val="both"/>
        <w:rPr/>
      </w:pPr>
      <w:r>
        <w:rPr>
          <w:rFonts w:cs="Arial Narrow" w:ascii="Arial Narrow" w:hAnsi="Arial Narrow"/>
          <w:bCs/>
          <w:color w:val="000000"/>
          <w:sz w:val="18"/>
        </w:rPr>
        <w:t>(b)</w:t>
        <w:tab/>
        <w:t xml:space="preserve">When </w:t>
      </w:r>
      <w:r>
        <w:rPr>
          <w:rFonts w:cs="Arial Narrow" w:ascii="Arial Narrow" w:hAnsi="Arial Narrow"/>
          <w:color w:val="000000"/>
          <w:sz w:val="18"/>
        </w:rPr>
        <w:t>ENA is Buyer as to a Transaction, Counterparty warrants that the Commodity shall not have been produced by, originate or be shipped from any country subject to U.S. trade sanctions (including but not limited to Iran, Iraq, Cuba, Libya, Sudan and Afghanistan, and/or any country with whom ENA is prohibited by U.S. Laws from trading) or be produced or supplied by any government, governmental entity or national thereof.</w:t>
      </w:r>
      <w:r>
        <w:rPr>
          <w:rFonts w:cs="Arial Narrow" w:ascii="Arial Narrow" w:hAnsi="Arial Narrow"/>
          <w:b/>
          <w:bCs/>
          <w:color w:val="000000"/>
          <w:sz w:val="18"/>
        </w:rPr>
        <w:t xml:space="preserve"> </w:t>
      </w:r>
      <w:r>
        <w:rPr>
          <w:rFonts w:cs="Arial Narrow" w:ascii="Arial Narrow" w:hAnsi="Arial Narrow"/>
          <w:color w:val="000000"/>
          <w:sz w:val="18"/>
        </w:rPr>
        <w:t>Counterparty shall, upon request, provide ENA with a certificate of origin for the Commodity, properly attested by an official seal and signature of the customs authorities at the loadport.  Counterparty shall ensure that ENA receives the certificate of origin within 30 days of the bill of lading date.</w:t>
      </w:r>
    </w:p>
    <w:p>
      <w:pPr>
        <w:pStyle w:val="MasterHeading"/>
        <w:numPr>
          <w:ilvl w:val="0"/>
          <w:numId w:val="0"/>
        </w:numPr>
        <w:tabs>
          <w:tab w:val="clear" w:pos="360"/>
          <w:tab w:val="left" w:pos="720" w:leader="none"/>
        </w:tabs>
        <w:spacing w:before="0" w:after="0"/>
        <w:ind w:hanging="0" w:start="0"/>
        <w:jc w:val="both"/>
        <w:rPr/>
      </w:pPr>
      <w:r>
        <w:rPr>
          <w:rFonts w:cs="Arial Narrow" w:ascii="Arial Narrow" w:hAnsi="Arial Narrow"/>
          <w:b w:val="false"/>
          <w:sz w:val="18"/>
        </w:rPr>
        <w:t>(c)</w:t>
        <w:tab/>
        <w:t xml:space="preserve">When </w:t>
      </w:r>
      <w:r>
        <w:rPr>
          <w:rFonts w:cs="Arial Narrow" w:ascii="Arial Narrow" w:hAnsi="Arial Narrow"/>
          <w:b w:val="false"/>
          <w:bCs/>
          <w:sz w:val="18"/>
        </w:rPr>
        <w:t>ENA is Seller, as to a Transaction, Counterparty covenants that it shall not permit the Commodity to be shipped directly or indirectly through or to, or be resold, exchanged, bartered or otherwise supplied to any country, government, governmental entity or national thereof subject to U.S. trade sanctions (including but not limited to Cuba, Iran, Iraq, Libya, Sudan and Afghanistan, or any country, government, governmental entity or national thereof with whom U.S. persons are prohibited from trading or dealing under U.S. Law).  Counterparty shall, upon request, certify to ENA the final destination of the Commodity and provide ENA with relevant documentation adequate to verify such destination.</w:t>
      </w:r>
    </w:p>
    <w:p>
      <w:pPr>
        <w:pStyle w:val="MasterHeading"/>
        <w:numPr>
          <w:ilvl w:val="0"/>
          <w:numId w:val="0"/>
        </w:numPr>
        <w:tabs>
          <w:tab w:val="clear" w:pos="360"/>
          <w:tab w:val="left" w:pos="720" w:leader="none"/>
        </w:tabs>
        <w:spacing w:before="0" w:after="0"/>
        <w:ind w:hanging="0" w:start="0"/>
        <w:jc w:val="both"/>
        <w:rPr>
          <w:rFonts w:ascii="Arial Narrow" w:hAnsi="Arial Narrow" w:cs="Arial Narrow"/>
          <w:b w:val="false"/>
          <w:bCs/>
          <w:sz w:val="18"/>
        </w:rPr>
      </w:pPr>
      <w:r>
        <w:rPr>
          <w:rFonts w:cs="Arial Narrow" w:ascii="Arial Narrow" w:hAnsi="Arial Narrow"/>
          <w:b w:val="false"/>
          <w:bCs/>
          <w:color w:val="000000"/>
          <w:sz w:val="18"/>
        </w:rPr>
        <w:t>(f)</w:t>
        <w:tab/>
        <w:t>It is a condition of these Terms that the Counterparty comply with the foregoing obligations of this Section 8.5, and if Counterparty breaches any such condition, in addition to any other remedy set for in these Terms, ENA may reject the affected Commodity and seek damages.</w:t>
      </w:r>
    </w:p>
    <w:p>
      <w:pPr>
        <w:pStyle w:val="Normal"/>
        <w:tabs>
          <w:tab w:val="left" w:pos="720" w:leader="none"/>
        </w:tabs>
        <w:jc w:val="both"/>
        <w:rPr>
          <w:rFonts w:ascii="Arial Narrow" w:hAnsi="Arial Narrow" w:cs="Arial Narrow"/>
          <w:b/>
          <w:sz w:val="18"/>
        </w:rPr>
      </w:pPr>
      <w:r>
        <w:rPr>
          <w:rFonts w:cs="Arial Narrow" w:ascii="Arial Narrow" w:hAnsi="Arial Narrow"/>
          <w:b/>
          <w:sz w:val="18"/>
        </w:rPr>
        <w:t>8.6</w:t>
        <w:tab/>
        <w:t>Entire Agreement</w:t>
      </w:r>
      <w:r>
        <w:rPr>
          <w:rFonts w:cs="Arial Narrow" w:ascii="Arial Narrow" w:hAnsi="Arial Narrow"/>
          <w:sz w:val="18"/>
        </w:rPr>
        <w:t>. These Terms supersede any prior terms and conditions delivered by either Party to the other as to the Commodity.</w:t>
      </w:r>
    </w:p>
    <w:p>
      <w:pPr>
        <w:pStyle w:val="BodyText2"/>
        <w:rPr>
          <w:rFonts w:ascii="Arial Narrow" w:hAnsi="Arial Narrow" w:cs="Arial Narrow"/>
          <w:b/>
          <w:sz w:val="18"/>
        </w:rPr>
      </w:pPr>
      <w:r>
        <w:rPr>
          <w:rFonts w:cs="Arial Narrow" w:ascii="Arial Narrow" w:hAnsi="Arial Narrow"/>
          <w:b/>
          <w:sz w:val="18"/>
        </w:rPr>
        <w:t>8.7</w:t>
        <w:tab/>
        <w:t>Severability; Survival</w:t>
      </w:r>
      <w:r>
        <w:rPr>
          <w:rFonts w:cs="Arial Narrow" w:ascii="Arial Narrow" w:hAnsi="Arial Narrow"/>
          <w:sz w:val="18"/>
        </w:rPr>
        <w:t xml:space="preserve">.  Except as specifically otherwise provided in these Terms or a Confirmation, if a provision of these Terms is declared unlawful, the Parties will promptly renegotiate to restore these Terms or such Transaction as near as possible to its original intent and effect.  All indemnity and audit rights shall survive the termination of these Terms in full for a period of 2 years;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that</w:t>
      </w:r>
      <w:r>
        <w:rPr>
          <w:rFonts w:cs="Arial Narrow" w:ascii="Arial Narrow" w:hAnsi="Arial Narrow"/>
          <w:sz w:val="18"/>
        </w:rPr>
        <w:t xml:space="preserve"> audit rights as to Third Party Impositions survive for the applicable statute of limitations.</w:t>
      </w:r>
    </w:p>
    <w:p>
      <w:pPr>
        <w:pStyle w:val="Normal"/>
        <w:jc w:val="both"/>
        <w:rPr/>
      </w:pPr>
      <w:r>
        <w:rPr>
          <w:rFonts w:cs="Arial Narrow" w:ascii="Arial Narrow" w:hAnsi="Arial Narrow"/>
          <w:b/>
          <w:iCs/>
          <w:sz w:val="18"/>
        </w:rPr>
        <w:t>8.8</w:t>
        <w:tab/>
        <w:t>Insurance</w:t>
      </w:r>
      <w:r>
        <w:rPr>
          <w:rFonts w:cs="Arial Narrow" w:ascii="Arial Narrow" w:hAnsi="Arial Narrow"/>
          <w:bCs/>
          <w:iCs/>
          <w:sz w:val="18"/>
        </w:rPr>
        <w:t xml:space="preserve">.  The Party to a Transaction that is obligated to insure the Commodity, shall (a) insure the applicable risks with underwriters or an insurance company of good repute, (b) utilizing insurance as per category A of the Institute Cargo Clauses (Institute of London Underwriters), (c) insure the Purchase Price </w:t>
      </w:r>
      <w:r>
        <w:rPr>
          <w:rFonts w:cs="Arial Narrow" w:ascii="Arial Narrow" w:hAnsi="Arial Narrow"/>
          <w:bCs/>
          <w:iCs/>
          <w:sz w:val="18"/>
          <w:u w:val="single"/>
        </w:rPr>
        <w:t>plus</w:t>
      </w:r>
      <w:r>
        <w:rPr>
          <w:rFonts w:cs="Arial Narrow" w:ascii="Arial Narrow" w:hAnsi="Arial Narrow"/>
          <w:bCs/>
          <w:iCs/>
          <w:sz w:val="18"/>
        </w:rPr>
        <w:t xml:space="preserve"> 10% (i.e. 110%) in the contractual currency of the Transaction.</w:t>
      </w:r>
    </w:p>
    <w:p>
      <w:pPr>
        <w:pStyle w:val="MasterHeading"/>
        <w:numPr>
          <w:ilvl w:val="0"/>
          <w:numId w:val="0"/>
        </w:numPr>
        <w:ind w:hanging="0" w:start="0"/>
        <w:rPr>
          <w:rFonts w:ascii="Arial Narrow" w:hAnsi="Arial Narrow" w:cs="Arial Narrow"/>
          <w:sz w:val="18"/>
        </w:rPr>
      </w:pPr>
      <w:r>
        <w:rPr>
          <w:rFonts w:cs="Arial Narrow" w:ascii="Arial Narrow" w:hAnsi="Arial Narrow"/>
          <w:sz w:val="18"/>
        </w:rPr>
        <w:t>9.  Definitions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Arial Narrow" w:ascii="Arial Narrow" w:hAnsi="Arial Narrow"/>
          <w:b/>
          <w:sz w:val="18"/>
        </w:rPr>
        <w:t>“</w:t>
      </w:r>
      <w:r>
        <w:rPr>
          <w:rStyle w:val="Justified"/>
          <w:rFonts w:cs="Arial Narrow" w:ascii="Arial Narrow" w:hAnsi="Arial Narrow"/>
          <w:b/>
          <w:sz w:val="18"/>
          <w:u w:val="single"/>
        </w:rPr>
        <w:t>Affiliate</w:t>
      </w:r>
      <w:r>
        <w:rPr>
          <w:rStyle w:val="Justified"/>
          <w:rFonts w:cs="Arial Narrow" w:ascii="Arial Narrow" w:hAnsi="Arial Narrow"/>
          <w:b/>
          <w:sz w:val="18"/>
        </w:rPr>
        <w:t>”</w:t>
      </w:r>
      <w:r>
        <w:rPr>
          <w:rStyle w:val="Justified"/>
          <w:rFonts w:cs="Arial Narrow" w:ascii="Arial Narrow" w:hAnsi="Arial Narrow"/>
          <w:sz w:val="18"/>
        </w:rPr>
        <w:t xml:space="preserve"> means any person that directly or indirectly controls, is controlled by, or is under common control with a Party, with “</w:t>
      </w:r>
      <w:r>
        <w:rPr>
          <w:rStyle w:val="Justified"/>
          <w:rFonts w:cs="Arial Narrow" w:ascii="Arial Narrow" w:hAnsi="Arial Narrow"/>
          <w:sz w:val="18"/>
          <w:u w:val="single"/>
        </w:rPr>
        <w:t>control</w:t>
      </w:r>
      <w:r>
        <w:rPr>
          <w:rStyle w:val="Justified"/>
          <w:rFonts w:cs="Arial Narrow" w:ascii="Arial Narrow" w:hAnsi="Arial Narrow"/>
          <w:sz w:val="18"/>
        </w:rPr>
        <w:t>” meaning direct or indirect ownership of 50% or more of the outstanding capital stock or other equity interests having ordinary voting power.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Arial Narrow" w:ascii="Arial Narrow" w:hAnsi="Arial Narrow"/>
          <w:b/>
          <w:sz w:val="18"/>
        </w:rPr>
        <w:t>“</w:t>
      </w:r>
      <w:r>
        <w:rPr>
          <w:rStyle w:val="Justified"/>
          <w:rFonts w:cs="Arial Narrow" w:ascii="Arial Narrow" w:hAnsi="Arial Narrow"/>
          <w:b/>
          <w:sz w:val="18"/>
          <w:u w:val="single"/>
        </w:rPr>
        <w:t>Bankruptcy Proceeding</w:t>
      </w:r>
      <w:r>
        <w:rPr>
          <w:rStyle w:val="Justified"/>
          <w:rFonts w:cs="Arial Narrow" w:ascii="Arial Narrow" w:hAnsi="Arial Narrow"/>
          <w:b/>
          <w:sz w:val="18"/>
        </w:rPr>
        <w:t>”</w:t>
      </w:r>
      <w:r>
        <w:rPr>
          <w:rStyle w:val="Justified"/>
          <w:rFonts w:cs="Arial Narrow" w:ascii="Arial Narrow" w:hAnsi="Arial Narrow"/>
          <w:sz w:val="18"/>
        </w:rPr>
        <w:t xml:space="preserve"> </w:t>
      </w:r>
      <w:r>
        <w:rPr>
          <w:rFonts w:cs="Arial Narrow" w:ascii="Arial Narrow" w:hAnsi="Arial Narrow"/>
          <w:sz w:val="18"/>
        </w:rPr>
        <w:t xml:space="preserve">means, as to a Party or its Credit Support Provider, (i) a proceeding seeking a judgment of bankruptcy or insolvency or </w:t>
      </w:r>
      <w:r>
        <w:rPr>
          <w:rFonts w:cs="Arial Narrow" w:ascii="Arial Narrow" w:hAnsi="Arial Narrow"/>
          <w:sz w:val="18"/>
          <w:u w:val="single"/>
        </w:rPr>
        <w:t>any</w:t>
      </w:r>
      <w:r>
        <w:rPr>
          <w:rFonts w:cs="Arial Narrow" w:ascii="Arial Narrow" w:hAnsi="Arial Narrow"/>
          <w:sz w:val="18"/>
        </w:rPr>
        <w:t xml:space="preserve"> </w:t>
      </w:r>
      <w:r>
        <w:rPr>
          <w:rFonts w:cs="Arial Narrow" w:ascii="Arial Narrow" w:hAnsi="Arial Narrow"/>
          <w:sz w:val="18"/>
          <w:u w:val="single"/>
        </w:rPr>
        <w:t>other</w:t>
      </w:r>
      <w:r>
        <w:rPr>
          <w:rFonts w:cs="Arial Narrow" w:ascii="Arial Narrow" w:hAnsi="Arial Narrow"/>
          <w:sz w:val="18"/>
        </w:rPr>
        <w:t xml:space="preserve"> </w:t>
      </w:r>
      <w:r>
        <w:rPr>
          <w:rFonts w:cs="Arial Narrow" w:ascii="Arial Narrow" w:hAnsi="Arial Narrow"/>
          <w:sz w:val="18"/>
          <w:u w:val="single"/>
        </w:rPr>
        <w:t>relief</w:t>
      </w:r>
      <w:r>
        <w:rPr>
          <w:rFonts w:cs="Arial Narrow" w:ascii="Arial Narrow" w:hAnsi="Arial Narrow"/>
          <w:sz w:val="18"/>
        </w:rPr>
        <w:t xml:space="preserve"> under any bankruptcy, insolvency or similar law affecting creditors’ rights, (ii) passage of a resolution for dissolution, winding-up, official management or dissolution, (iii) action by its secured party to take possession of its assets, if such action is not stayed or restrained within 30 days, or (iv) any event which has an analogous effect to the matters described in (i) and (iii), including any action in furtherance of, or indicating it’s consent to or approval of the foregoing acts.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Arial Narrow" w:ascii="Arial Narrow" w:hAnsi="Arial Narrow"/>
          <w:b/>
          <w:bCs/>
          <w:sz w:val="18"/>
        </w:rPr>
        <w:t>“</w:t>
      </w:r>
      <w:r>
        <w:rPr>
          <w:rFonts w:cs="Arial Narrow" w:ascii="Arial Narrow" w:hAnsi="Arial Narrow"/>
          <w:b/>
          <w:bCs/>
          <w:sz w:val="18"/>
          <w:u w:val="single"/>
        </w:rPr>
        <w:t>Buyer</w:t>
      </w:r>
      <w:r>
        <w:rPr>
          <w:rFonts w:cs="Arial Narrow" w:ascii="Arial Narrow" w:hAnsi="Arial Narrow"/>
          <w:b/>
          <w:bCs/>
          <w:sz w:val="18"/>
        </w:rPr>
        <w:t>”</w:t>
      </w:r>
      <w:r>
        <w:rPr>
          <w:rFonts w:cs="Arial Narrow" w:ascii="Arial Narrow" w:hAnsi="Arial Narrow"/>
          <w:sz w:val="18"/>
        </w:rPr>
        <w:t xml:space="preserve"> means the Party to a Transaction who is obligated to purchase and receive the Commodity.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Arial Narrow" w:ascii="Arial Narrow" w:hAnsi="Arial Narrow"/>
          <w:b/>
          <w:sz w:val="18"/>
        </w:rPr>
        <w:t>“</w:t>
      </w:r>
      <w:r>
        <w:rPr>
          <w:rFonts w:cs="Arial Narrow" w:ascii="Arial Narrow" w:hAnsi="Arial Narrow"/>
          <w:b/>
          <w:sz w:val="18"/>
          <w:u w:val="single"/>
        </w:rPr>
        <w:t>Commodity</w:t>
      </w:r>
      <w:r>
        <w:rPr>
          <w:rFonts w:cs="Arial Narrow" w:ascii="Arial Narrow" w:hAnsi="Arial Narrow"/>
          <w:b/>
          <w:sz w:val="18"/>
        </w:rPr>
        <w:t xml:space="preserve">” </w:t>
      </w:r>
      <w:r>
        <w:rPr>
          <w:rFonts w:cs="Arial Narrow" w:ascii="Arial Narrow" w:hAnsi="Arial Narrow"/>
          <w:sz w:val="18"/>
        </w:rPr>
        <w:t>means steel, pulp, paper, lumber, forest products, or other goods purchased and sold under a Confirmation.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Arial Narrow" w:ascii="Arial Narrow" w:hAnsi="Arial Narrow"/>
          <w:sz w:val="18"/>
        </w:rPr>
        <w:t>“</w:t>
      </w:r>
      <w:r>
        <w:rPr>
          <w:rFonts w:cs="Arial Narrow" w:ascii="Arial Narrow" w:hAnsi="Arial Narrow"/>
          <w:b/>
          <w:bCs/>
          <w:sz w:val="18"/>
          <w:u w:val="single"/>
        </w:rPr>
        <w:t>Confirmation</w:t>
      </w:r>
      <w:r>
        <w:rPr>
          <w:rFonts w:cs="Arial Narrow" w:ascii="Arial Narrow" w:hAnsi="Arial Narrow"/>
          <w:sz w:val="18"/>
        </w:rPr>
        <w:t>” means a written notice confirming the specific terms of a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Arial Narrow" w:ascii="Arial Narrow" w:hAnsi="Arial Narrow"/>
          <w:b/>
          <w:sz w:val="18"/>
        </w:rPr>
        <w:t>“</w:t>
      </w:r>
      <w:r>
        <w:rPr>
          <w:rStyle w:val="Justified"/>
          <w:rFonts w:cs="Arial Narrow" w:ascii="Arial Narrow" w:hAnsi="Arial Narrow"/>
          <w:b/>
          <w:sz w:val="18"/>
          <w:u w:val="single"/>
        </w:rPr>
        <w:t>Contract Price</w:t>
      </w:r>
      <w:r>
        <w:rPr>
          <w:rStyle w:val="Justified"/>
          <w:rFonts w:cs="Arial Narrow" w:ascii="Arial Narrow" w:hAnsi="Arial Narrow"/>
          <w:b/>
          <w:sz w:val="18"/>
        </w:rPr>
        <w:t xml:space="preserve">” </w:t>
      </w:r>
      <w:r>
        <w:rPr>
          <w:rStyle w:val="Justified"/>
          <w:rFonts w:cs="Arial Narrow" w:ascii="Arial Narrow" w:hAnsi="Arial Narrow"/>
          <w:sz w:val="18"/>
        </w:rPr>
        <w:t>means the price in $U.S. to be paid by Buyer to Seller for the purchase of the Commodity.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Arial Narrow" w:ascii="Arial Narrow" w:hAnsi="Arial Narrow"/>
          <w:b/>
          <w:sz w:val="18"/>
        </w:rPr>
        <w:t>“</w:t>
      </w:r>
      <w:r>
        <w:rPr>
          <w:rStyle w:val="Justified"/>
          <w:rFonts w:cs="Arial Narrow" w:ascii="Arial Narrow" w:hAnsi="Arial Narrow"/>
          <w:b/>
          <w:sz w:val="18"/>
          <w:u w:val="single"/>
        </w:rPr>
        <w:t>Contract Quantity</w:t>
      </w:r>
      <w:r>
        <w:rPr>
          <w:rStyle w:val="Justified"/>
          <w:rFonts w:cs="Arial Narrow" w:ascii="Arial Narrow" w:hAnsi="Arial Narrow"/>
          <w:b/>
          <w:sz w:val="18"/>
        </w:rPr>
        <w:t xml:space="preserve">” </w:t>
      </w:r>
      <w:r>
        <w:rPr>
          <w:rStyle w:val="Justified"/>
          <w:rFonts w:cs="Arial Narrow" w:ascii="Arial Narrow" w:hAnsi="Arial Narrow"/>
          <w:sz w:val="18"/>
        </w:rPr>
        <w:t>means the quantity of the Commodity that Seller agrees to sell to, exchange with, and cause to be delivered to Buyer, and that Buyer agrees to purchase and receive, or cause to be received, from Seller, pursuant to a Transaction, as specified in a Confirmation.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Arial Narrow" w:ascii="Arial Narrow" w:hAnsi="Arial Narrow"/>
          <w:b/>
          <w:sz w:val="18"/>
        </w:rPr>
        <w:t>“</w:t>
      </w:r>
      <w:r>
        <w:rPr>
          <w:rFonts w:cs="Arial Narrow" w:ascii="Arial Narrow" w:hAnsi="Arial Narrow"/>
          <w:b/>
          <w:sz w:val="18"/>
          <w:u w:val="single"/>
        </w:rPr>
        <w:t>Costs</w:t>
      </w:r>
      <w:r>
        <w:rPr>
          <w:rFonts w:cs="Arial Narrow" w:ascii="Arial Narrow" w:hAnsi="Arial Narrow"/>
          <w:b/>
          <w:sz w:val="18"/>
        </w:rPr>
        <w:t>”</w:t>
      </w:r>
      <w:r>
        <w:rPr>
          <w:rFonts w:cs="Arial Narrow" w:ascii="Arial Narrow" w:hAnsi="Arial Narrow"/>
          <w:sz w:val="18"/>
        </w:rPr>
        <w:t xml:space="preserve"> means a Performing Party’s brokerage fees, commissions and other costs and expenses reasonably incurred as a result of terminating any hedges, related trading position or other risk management contracts and/or entering into new arrangements to replace the applicable Terminated Transactions, plus its Legal Costs.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Arial Narrow" w:ascii="Arial Narrow" w:hAnsi="Arial Narrow"/>
          <w:b/>
          <w:bCs/>
          <w:sz w:val="18"/>
        </w:rPr>
        <w:t>“</w:t>
      </w:r>
      <w:r>
        <w:rPr>
          <w:rFonts w:cs="Arial Narrow" w:ascii="Arial Narrow" w:hAnsi="Arial Narrow"/>
          <w:b/>
          <w:bCs/>
          <w:sz w:val="18"/>
          <w:u w:val="single"/>
        </w:rPr>
        <w:t>Counterparty</w:t>
      </w:r>
      <w:r>
        <w:rPr>
          <w:rFonts w:cs="Arial Narrow" w:ascii="Arial Narrow" w:hAnsi="Arial Narrow"/>
          <w:b/>
          <w:bCs/>
          <w:sz w:val="18"/>
        </w:rPr>
        <w:t>”</w:t>
      </w:r>
      <w:r>
        <w:rPr>
          <w:rFonts w:cs="Arial Narrow" w:ascii="Arial Narrow" w:hAnsi="Arial Narrow"/>
          <w:sz w:val="18"/>
        </w:rPr>
        <w:t xml:space="preserve"> means a person with whom ENA forms a Transaction while these Terms are effective.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Arial Narrow" w:ascii="Arial Narrow" w:hAnsi="Arial Narrow"/>
          <w:b/>
          <w:bCs/>
          <w:sz w:val="18"/>
        </w:rPr>
        <w:t>“</w:t>
      </w:r>
      <w:r>
        <w:rPr>
          <w:rFonts w:cs="Arial Narrow" w:ascii="Arial Narrow" w:hAnsi="Arial Narrow"/>
          <w:b/>
          <w:bCs/>
          <w:sz w:val="18"/>
          <w:u w:val="single"/>
        </w:rPr>
        <w:t>Credit Support Provider</w:t>
      </w:r>
      <w:r>
        <w:rPr>
          <w:rFonts w:cs="Arial Narrow" w:ascii="Arial Narrow" w:hAnsi="Arial Narrow"/>
          <w:b/>
          <w:bCs/>
          <w:sz w:val="18"/>
        </w:rPr>
        <w:t>”</w:t>
      </w:r>
      <w:r>
        <w:rPr>
          <w:rFonts w:cs="Arial Narrow" w:ascii="Arial Narrow" w:hAnsi="Arial Narrow"/>
          <w:sz w:val="18"/>
        </w:rPr>
        <w:t xml:space="preserve"> means a guarantor or other credit support provider of a Party’s obligations as to a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Arial Narrow" w:ascii="Arial Narrow" w:hAnsi="Arial Narrow"/>
          <w:b/>
          <w:bCs/>
          <w:sz w:val="18"/>
        </w:rPr>
        <w:t>“</w:t>
      </w:r>
      <w:r>
        <w:rPr>
          <w:rFonts w:cs="Arial Narrow" w:ascii="Arial Narrow" w:hAnsi="Arial Narrow"/>
          <w:b/>
          <w:bCs/>
          <w:sz w:val="18"/>
          <w:u w:val="single"/>
        </w:rPr>
        <w:t>Credit Support Documents</w:t>
      </w:r>
      <w:r>
        <w:rPr>
          <w:rFonts w:cs="Arial Narrow" w:ascii="Arial Narrow" w:hAnsi="Arial Narrow"/>
          <w:b/>
          <w:bCs/>
          <w:sz w:val="18"/>
        </w:rPr>
        <w:t>”</w:t>
      </w:r>
      <w:r>
        <w:rPr>
          <w:rFonts w:cs="Arial Narrow" w:ascii="Arial Narrow" w:hAnsi="Arial Narrow"/>
          <w:sz w:val="18"/>
        </w:rPr>
        <w:t xml:space="preserve"> shall mean any guaranty, letter of credit, security agreement, and any other credit support document required by, or provided pursuant to these Terms.</w:t>
      </w:r>
    </w:p>
    <w:p>
      <w:pPr>
        <w:pStyle w:val="Normal"/>
        <w:tabs>
          <w:tab w:val="left" w:pos="91" w:leader="none"/>
          <w:tab w:val="left" w:pos="720" w:leader="none"/>
        </w:tabs>
        <w:jc w:val="both"/>
        <w:rPr/>
      </w:pPr>
      <w:r>
        <w:rPr>
          <w:rStyle w:val="Justified"/>
          <w:rFonts w:cs="Arial Narrow" w:ascii="Arial Narrow" w:hAnsi="Arial Narrow"/>
          <w:b/>
          <w:sz w:val="18"/>
        </w:rPr>
        <w:t>“</w:t>
      </w:r>
      <w:r>
        <w:rPr>
          <w:rStyle w:val="Justified"/>
          <w:rFonts w:cs="Arial Narrow" w:ascii="Arial Narrow" w:hAnsi="Arial Narrow"/>
          <w:b/>
          <w:sz w:val="18"/>
          <w:u w:val="single"/>
        </w:rPr>
        <w:t>Delivery Point</w:t>
      </w:r>
      <w:r>
        <w:rPr>
          <w:rStyle w:val="Justified"/>
          <w:rFonts w:cs="Arial Narrow" w:ascii="Arial Narrow" w:hAnsi="Arial Narrow"/>
          <w:b/>
          <w:sz w:val="18"/>
        </w:rPr>
        <w:t>”</w:t>
      </w:r>
      <w:r>
        <w:rPr>
          <w:rStyle w:val="Justified"/>
          <w:rFonts w:cs="Arial Narrow" w:ascii="Arial Narrow" w:hAnsi="Arial Narrow"/>
          <w:sz w:val="18"/>
        </w:rPr>
        <w:t xml:space="preserve"> means the point(s) of delivery and receipt of the Commodity applicable to a Transaction.</w:t>
      </w:r>
    </w:p>
    <w:p>
      <w:pPr>
        <w:pStyle w:val="Normal"/>
        <w:tabs>
          <w:tab w:val="left" w:pos="91" w:leader="none"/>
          <w:tab w:val="left" w:pos="720" w:leader="none"/>
        </w:tabs>
        <w:jc w:val="both"/>
        <w:rPr/>
      </w:pPr>
      <w:r>
        <w:rPr>
          <w:rFonts w:cs="Arial Narrow" w:ascii="Arial Narrow" w:hAnsi="Arial Narrow"/>
          <w:b/>
          <w:bCs/>
          <w:sz w:val="18"/>
        </w:rPr>
        <w:t>“</w:t>
      </w:r>
      <w:r>
        <w:rPr>
          <w:rFonts w:cs="Arial Narrow" w:ascii="Arial Narrow" w:hAnsi="Arial Narrow"/>
          <w:b/>
          <w:bCs/>
          <w:sz w:val="18"/>
          <w:u w:val="single"/>
        </w:rPr>
        <w:t>Event of Default</w:t>
      </w:r>
      <w:r>
        <w:rPr>
          <w:rFonts w:cs="Arial Narrow" w:ascii="Arial Narrow" w:hAnsi="Arial Narrow"/>
          <w:sz w:val="18"/>
        </w:rPr>
        <w:t>” means t</w:t>
      </w:r>
      <w:r>
        <w:rPr>
          <w:rFonts w:cs="Arial Narrow" w:ascii="Arial Narrow" w:hAnsi="Arial Narrow"/>
          <w:sz w:val="18"/>
          <w:szCs w:val="18"/>
        </w:rPr>
        <w:t>he occurrence of any of the following events as to a Party or its Credit Support Provider (collectively, a “</w:t>
      </w:r>
      <w:r>
        <w:rPr>
          <w:rFonts w:cs="Arial Narrow" w:ascii="Arial Narrow" w:hAnsi="Arial Narrow"/>
          <w:sz w:val="18"/>
          <w:szCs w:val="18"/>
          <w:u w:val="single"/>
        </w:rPr>
        <w:t>Defaulting Party</w:t>
      </w:r>
      <w:r>
        <w:rPr>
          <w:rFonts w:cs="Arial Narrow" w:ascii="Arial Narrow" w:hAnsi="Arial Narrow"/>
          <w:sz w:val="18"/>
          <w:szCs w:val="18"/>
        </w:rPr>
        <w:t xml:space="preserve">”): </w:t>
      </w:r>
      <w:r>
        <w:rPr>
          <w:rFonts w:cs="Arial Narrow" w:ascii="Arial Narrow" w:hAnsi="Arial Narrow"/>
          <w:sz w:val="18"/>
        </w:rPr>
        <w:t>(a) failure to make, when due, any payment or delivery required as to a Transaction, if such failure is not remedied on or before the 5</w:t>
      </w:r>
      <w:r>
        <w:rPr>
          <w:rFonts w:cs="Arial Narrow" w:ascii="Arial Narrow" w:hAnsi="Arial Narrow"/>
          <w:sz w:val="18"/>
          <w:vertAlign w:val="superscript"/>
        </w:rPr>
        <w:t>th</w:t>
      </w:r>
      <w:r>
        <w:rPr>
          <w:rFonts w:cs="Arial Narrow" w:ascii="Arial Narrow" w:hAnsi="Arial Narrow"/>
          <w:sz w:val="18"/>
        </w:rPr>
        <w:t xml:space="preserve"> day after written notice of such failure is given to the Transaction Party; (b)</w:t>
      </w:r>
      <w:r>
        <w:rPr>
          <w:rFonts w:cs="Arial Narrow" w:ascii="Arial Narrow" w:hAnsi="Arial Narrow"/>
          <w:b/>
          <w:bCs/>
          <w:sz w:val="18"/>
        </w:rPr>
        <w:t xml:space="preserve"> </w:t>
      </w:r>
      <w:r>
        <w:rPr>
          <w:rFonts w:cs="Arial Narrow" w:ascii="Arial Narrow" w:hAnsi="Arial Narrow"/>
          <w:sz w:val="18"/>
        </w:rPr>
        <w:t>failure to perform any agreement or obligation as to a Transaction (that is not otherwise described in (a), (c), (d), (e), or (f) of this definition), if such failure is not remedied on or before the day after written notice of such failure is given to the Transaction Party; (c)</w:t>
      </w:r>
      <w:r>
        <w:rPr>
          <w:rFonts w:cs="Arial Narrow" w:ascii="Arial Narrow" w:hAnsi="Arial Narrow"/>
          <w:b/>
          <w:bCs/>
          <w:sz w:val="18"/>
        </w:rPr>
        <w:t xml:space="preserve"> </w:t>
      </w:r>
      <w:r>
        <w:rPr>
          <w:rFonts w:cs="Arial Narrow" w:ascii="Arial Narrow" w:hAnsi="Arial Narrow"/>
          <w:sz w:val="18"/>
        </w:rPr>
        <w:t xml:space="preserve">failure by or of (i) a Transaction Party to establish, maintain, renew, substitute or increase any Performance Assurance hereunder; (ii) a Transaction Party </w:t>
      </w:r>
      <w:r>
        <w:rPr>
          <w:rFonts w:cs="Arial Narrow" w:ascii="Arial Narrow" w:hAnsi="Arial Narrow"/>
          <w:sz w:val="18"/>
          <w:szCs w:val="18"/>
        </w:rPr>
        <w:t>to comply with or perform an obligation under a Credit Support Document, if such failure continues past the applicable grace period; or (iii) a Credit Support Document to remain in full force and effect (other than in accordance with its terms) prior to the satisfaction of all obligations of a Transaction Party under each Transaction to which such Credit Support Document relates, without the written consent of the other Party; (d)</w:t>
      </w:r>
      <w:r>
        <w:rPr>
          <w:rFonts w:cs="Arial Narrow" w:ascii="Arial Narrow" w:hAnsi="Arial Narrow"/>
          <w:b/>
          <w:bCs/>
          <w:sz w:val="18"/>
          <w:szCs w:val="18"/>
        </w:rPr>
        <w:t xml:space="preserve"> </w:t>
      </w:r>
      <w:r>
        <w:rPr>
          <w:rFonts w:cs="Arial Narrow" w:ascii="Arial Narrow" w:hAnsi="Arial Narrow"/>
          <w:sz w:val="18"/>
          <w:szCs w:val="18"/>
        </w:rPr>
        <w:t>becoming subject to a Bankruptcy Proceedings; (e) causing  a Merger Event; or (f) a Transaction Party’s representative made as repeated as to a Transaction, proves to have been incorrect or misleading in any material respect.</w:t>
      </w:r>
    </w:p>
    <w:p>
      <w:pPr>
        <w:pStyle w:val="Normal"/>
        <w:tabs>
          <w:tab w:val="clear" w:pos="720"/>
          <w:tab w:val="left" w:pos="91" w:leader="none"/>
          <w:tab w:val="left" w:pos="810" w:leader="none"/>
          <w:tab w:val="left" w:pos="1530" w:leader="none"/>
          <w:tab w:val="left" w:pos="2250" w:leader="none"/>
          <w:tab w:val="left" w:pos="2970" w:leader="none"/>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 w:val="left" w:pos="9450" w:leader="none"/>
        </w:tabs>
        <w:jc w:val="both"/>
        <w:rPr/>
      </w:pPr>
      <w:r>
        <w:rPr>
          <w:rFonts w:cs="Arial Narrow" w:ascii="Arial Narrow" w:hAnsi="Arial Narrow"/>
          <w:b/>
          <w:sz w:val="18"/>
        </w:rPr>
        <w:t>“</w:t>
      </w:r>
      <w:r>
        <w:rPr>
          <w:rFonts w:cs="Arial Narrow" w:ascii="Arial Narrow" w:hAnsi="Arial Narrow"/>
          <w:b/>
          <w:sz w:val="18"/>
          <w:u w:val="single"/>
        </w:rPr>
        <w:t>Exercise Date</w:t>
      </w:r>
      <w:r>
        <w:rPr>
          <w:rFonts w:cs="Arial Narrow" w:ascii="Arial Narrow" w:hAnsi="Arial Narrow"/>
          <w:sz w:val="18"/>
        </w:rPr>
        <w:t>” means the date, specified in an Option Confirmation, by which the Option buyer must have, through notice, elected to purchase or sell the Option quantity.</w:t>
      </w:r>
    </w:p>
    <w:p>
      <w:pPr>
        <w:pStyle w:val="Normal"/>
        <w:tabs>
          <w:tab w:val="clear" w:pos="720"/>
          <w:tab w:val="left" w:pos="91" w:leader="none"/>
          <w:tab w:val="left" w:pos="810" w:leader="none"/>
          <w:tab w:val="left" w:pos="1530" w:leader="none"/>
          <w:tab w:val="left" w:pos="2250" w:leader="none"/>
          <w:tab w:val="left" w:pos="2970" w:leader="none"/>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 w:val="left" w:pos="9450" w:leader="none"/>
        </w:tabs>
        <w:jc w:val="both"/>
        <w:rPr/>
      </w:pPr>
      <w:r>
        <w:rPr>
          <w:rFonts w:cs="Arial Narrow" w:ascii="Arial Narrow" w:hAnsi="Arial Narrow"/>
          <w:b/>
          <w:bCs/>
          <w:sz w:val="18"/>
        </w:rPr>
        <w:t>“</w:t>
      </w:r>
      <w:r>
        <w:rPr>
          <w:rFonts w:cs="Arial Narrow" w:ascii="Arial Narrow" w:hAnsi="Arial Narrow"/>
          <w:b/>
          <w:bCs/>
          <w:sz w:val="18"/>
          <w:u w:val="single"/>
        </w:rPr>
        <w:t>Extended Force Majeure</w:t>
      </w:r>
      <w:r>
        <w:rPr>
          <w:rFonts w:cs="Arial Narrow" w:ascii="Arial Narrow" w:hAnsi="Arial Narrow"/>
          <w:b/>
          <w:bCs/>
          <w:sz w:val="18"/>
        </w:rPr>
        <w:t xml:space="preserve">” </w:t>
      </w:r>
      <w:r>
        <w:rPr>
          <w:rFonts w:cs="Arial Narrow" w:ascii="Arial Narrow" w:hAnsi="Arial Narrow"/>
          <w:sz w:val="18"/>
        </w:rPr>
        <w:t xml:space="preserve">means that (a) performance of a Party’s obligations under a Transaction have been suspended due to Force Majeure for a period exceeding 60 days during the term of such Transaction and (b) such Party has failed or elected not to commence and continue the payment of damages owed to the other Party pursuant to subsection 6.1 from and after the passage of the 60 day period described in (a).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Arial Narrow" w:ascii="Arial Narrow" w:hAnsi="Arial Narrow"/>
          <w:b/>
          <w:sz w:val="18"/>
        </w:rPr>
        <w:t>“</w:t>
      </w:r>
      <w:r>
        <w:rPr>
          <w:rStyle w:val="Justified"/>
          <w:rFonts w:cs="Arial Narrow" w:ascii="Arial Narrow" w:hAnsi="Arial Narrow"/>
          <w:b/>
          <w:sz w:val="18"/>
          <w:u w:val="single"/>
        </w:rPr>
        <w:t>Force Majeure</w:t>
      </w:r>
      <w:r>
        <w:rPr>
          <w:rStyle w:val="Justified"/>
          <w:rFonts w:cs="Arial Narrow" w:ascii="Arial Narrow" w:hAnsi="Arial Narrow"/>
          <w:b/>
          <w:sz w:val="18"/>
        </w:rPr>
        <w:t>”</w:t>
      </w:r>
      <w:r>
        <w:rPr>
          <w:rStyle w:val="Justified"/>
          <w:rFonts w:cs="Arial Narrow" w:ascii="Arial Narrow" w:hAnsi="Arial Narrow"/>
          <w:sz w:val="18"/>
        </w:rPr>
        <w:t xml:space="preserve"> means an event which prevents a Party from performing its obligations under a Transaction, that is not within its reasonable control, that does not result from its negligence, and which it is unable to overcome or obtain substitute performance; </w:t>
      </w:r>
      <w:r>
        <w:rPr>
          <w:rStyle w:val="Justified"/>
          <w:rFonts w:cs="Arial Narrow" w:ascii="Arial Narrow" w:hAnsi="Arial Narrow"/>
          <w:sz w:val="18"/>
          <w:u w:val="single"/>
        </w:rPr>
        <w:t>provided</w:t>
      </w:r>
      <w:r>
        <w:rPr>
          <w:rStyle w:val="Justified"/>
          <w:rFonts w:cs="Arial Narrow" w:ascii="Arial Narrow" w:hAnsi="Arial Narrow"/>
          <w:sz w:val="18"/>
        </w:rPr>
        <w:t xml:space="preserve"> </w:t>
      </w:r>
      <w:r>
        <w:rPr>
          <w:rStyle w:val="Justified"/>
          <w:rFonts w:cs="Arial Narrow" w:ascii="Arial Narrow" w:hAnsi="Arial Narrow"/>
          <w:sz w:val="18"/>
          <w:u w:val="single"/>
        </w:rPr>
        <w:t>that</w:t>
      </w:r>
      <w:r>
        <w:rPr>
          <w:rStyle w:val="Justified"/>
          <w:rFonts w:cs="Arial Narrow" w:ascii="Arial Narrow" w:hAnsi="Arial Narrow"/>
          <w:sz w:val="18"/>
        </w:rPr>
        <w:t>, Force Majeure shall not include (i) loss of Buyer’s markets; (ii) Buyer’s inability economically to use or resell a Commodity; (iii) failure of Seller’s supply; or (iv) Seller’s ability to sell a Commodity for more than the Purchase Price.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Arial Narrow" w:ascii="Arial Narrow" w:hAnsi="Arial Narrow"/>
          <w:b/>
          <w:sz w:val="18"/>
        </w:rPr>
        <w:t>“</w:t>
      </w:r>
      <w:r>
        <w:rPr>
          <w:rStyle w:val="Justified"/>
          <w:rFonts w:cs="Arial Narrow" w:ascii="Arial Narrow" w:hAnsi="Arial Narrow"/>
          <w:b/>
          <w:sz w:val="18"/>
          <w:u w:val="single"/>
        </w:rPr>
        <w:t>Gain</w:t>
      </w:r>
      <w:r>
        <w:rPr>
          <w:rStyle w:val="Justified"/>
          <w:rFonts w:cs="Arial Narrow" w:ascii="Arial Narrow" w:hAnsi="Arial Narrow"/>
          <w:b/>
          <w:sz w:val="18"/>
        </w:rPr>
        <w:t xml:space="preserve">” </w:t>
      </w:r>
      <w:r>
        <w:rPr>
          <w:rStyle w:val="Justified"/>
          <w:rFonts w:cs="Arial Narrow" w:ascii="Arial Narrow" w:hAnsi="Arial Narrow"/>
          <w:sz w:val="18"/>
        </w:rPr>
        <w:t>means the present value of the economic benefit (without taking Costs into account), to a Party resulting from the termination of its obligations as to all applicable Terminated Transactions, determined in a commercially reasonable manner.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Arial Narrow" w:ascii="Arial Narrow" w:hAnsi="Arial Narrow"/>
          <w:b/>
          <w:bCs/>
          <w:sz w:val="18"/>
        </w:rPr>
        <w:t>“</w:t>
      </w:r>
      <w:r>
        <w:rPr>
          <w:rStyle w:val="Justified"/>
          <w:rFonts w:cs="Arial Narrow" w:ascii="Arial Narrow" w:hAnsi="Arial Narrow"/>
          <w:b/>
          <w:bCs/>
          <w:sz w:val="18"/>
          <w:u w:val="single"/>
        </w:rPr>
        <w:t>Importer of Record</w:t>
      </w:r>
      <w:r>
        <w:rPr>
          <w:rStyle w:val="Justified"/>
          <w:rFonts w:cs="Arial Narrow" w:ascii="Arial Narrow" w:hAnsi="Arial Narrow"/>
          <w:b/>
          <w:bCs/>
          <w:sz w:val="18"/>
        </w:rPr>
        <w:t xml:space="preserve">” </w:t>
      </w:r>
      <w:r>
        <w:rPr>
          <w:rStyle w:val="Justified"/>
          <w:rFonts w:cs="Arial Narrow" w:ascii="Arial Narrow" w:hAnsi="Arial Narrow"/>
          <w:sz w:val="18"/>
        </w:rPr>
        <w:t>means the Party whom the Transaction designates as responsible for paying all or substantially all Trade Duties with respect to the import of the Commodity to the Delivery Point, which responsibility also means paying or reimbursing a third party to serve as importer of record as to one or more cargos of the Commodity.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Arial Narrow" w:ascii="Arial Narrow" w:hAnsi="Arial Narrow"/>
          <w:b/>
          <w:spacing w:val="-2"/>
          <w:sz w:val="18"/>
        </w:rPr>
        <w:t>“</w:t>
      </w:r>
      <w:r>
        <w:rPr>
          <w:rFonts w:cs="Arial Narrow" w:ascii="Arial Narrow" w:hAnsi="Arial Narrow"/>
          <w:b/>
          <w:spacing w:val="-2"/>
          <w:sz w:val="18"/>
          <w:u w:val="single"/>
        </w:rPr>
        <w:t>Interest Rate</w:t>
      </w:r>
      <w:r>
        <w:rPr>
          <w:rFonts w:cs="Arial Narrow" w:ascii="Arial Narrow" w:hAnsi="Arial Narrow"/>
          <w:b/>
          <w:spacing w:val="-2"/>
          <w:sz w:val="18"/>
        </w:rPr>
        <w:t xml:space="preserve">” </w:t>
      </w:r>
      <w:r>
        <w:rPr>
          <w:rFonts w:cs="Arial Narrow" w:ascii="Arial Narrow" w:hAnsi="Arial Narrow"/>
          <w:spacing w:val="-2"/>
          <w:sz w:val="18"/>
        </w:rPr>
        <w:t>means the prime rate published in the Wall Street Journal under the heading “Money Rates”.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Arial Narrow" w:ascii="Arial Narrow" w:hAnsi="Arial Narrow"/>
          <w:b/>
          <w:spacing w:val="-2"/>
          <w:sz w:val="18"/>
        </w:rPr>
        <w:t>“</w:t>
      </w:r>
      <w:r>
        <w:rPr>
          <w:rFonts w:cs="Arial Narrow" w:ascii="Arial Narrow" w:hAnsi="Arial Narrow"/>
          <w:b/>
          <w:spacing w:val="-2"/>
          <w:sz w:val="18"/>
          <w:u w:val="single"/>
        </w:rPr>
        <w:t>Legal Costs</w:t>
      </w:r>
      <w:r>
        <w:rPr>
          <w:rFonts w:cs="Arial Narrow" w:ascii="Arial Narrow" w:hAnsi="Arial Narrow"/>
          <w:b/>
          <w:spacing w:val="-2"/>
          <w:sz w:val="18"/>
        </w:rPr>
        <w:t>”</w:t>
      </w:r>
      <w:r>
        <w:rPr>
          <w:rFonts w:cs="Arial Narrow" w:ascii="Arial Narrow" w:hAnsi="Arial Narrow"/>
          <w:spacing w:val="-2"/>
          <w:sz w:val="18"/>
        </w:rPr>
        <w:t xml:space="preserve"> means the reasonable out-of-pocket expenses incurred by a Party to enforce its rights under a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Arial Narrow" w:hAnsi="Arial Narrow" w:cs="Arial Narrow"/>
          <w:i/>
          <w:i/>
          <w:iCs/>
          <w:spacing w:val="-2"/>
          <w:sz w:val="18"/>
        </w:rPr>
      </w:pPr>
      <w:r>
        <w:rPr>
          <w:rFonts w:cs="Arial Narrow" w:ascii="Arial Narrow" w:hAnsi="Arial Narrow"/>
          <w:b/>
          <w:bCs/>
          <w:spacing w:val="-2"/>
          <w:sz w:val="18"/>
        </w:rPr>
        <w:t>“</w:t>
      </w:r>
      <w:r>
        <w:rPr>
          <w:rFonts w:cs="Arial Narrow" w:ascii="Arial Narrow" w:hAnsi="Arial Narrow"/>
          <w:b/>
          <w:bCs/>
          <w:spacing w:val="-2"/>
          <w:sz w:val="18"/>
          <w:u w:val="single"/>
        </w:rPr>
        <w:t>Loss</w:t>
      </w:r>
      <w:r>
        <w:rPr>
          <w:rFonts w:cs="Arial Narrow" w:ascii="Arial Narrow" w:hAnsi="Arial Narrow"/>
          <w:b/>
          <w:bCs/>
          <w:spacing w:val="-2"/>
          <w:sz w:val="18"/>
        </w:rPr>
        <w:t>”</w:t>
      </w:r>
      <w:r>
        <w:rPr>
          <w:rFonts w:cs="Arial Narrow" w:ascii="Arial Narrow" w:hAnsi="Arial Narrow"/>
          <w:spacing w:val="-2"/>
          <w:sz w:val="18"/>
        </w:rPr>
        <w:t xml:space="preserve"> </w:t>
      </w:r>
      <w:r>
        <w:rPr>
          <w:rFonts w:cs="Arial Narrow" w:ascii="Arial Narrow" w:hAnsi="Arial Narrow"/>
          <w:sz w:val="18"/>
        </w:rPr>
        <w:t xml:space="preserve">means the amount that a Party reasonably determines in good faith to be its total losses and Costs in connection with applicable Terminated Transactions (taking into account Gain resulting from termination of such Terminated Transactions).  </w:t>
      </w:r>
      <w:r>
        <w:rPr>
          <w:rFonts w:cs="Arial Narrow" w:ascii="Arial Narrow" w:hAnsi="Arial Narrow"/>
          <w:b/>
          <w:bCs/>
          <w:i/>
          <w:iCs/>
          <w:sz w:val="18"/>
        </w:rPr>
        <w:t>Loss is expressed as a positive value when the aggregate of losses and Costs exceed the value of Gain, and it is expressed as a negative number when the value of Gain exceeds the aggregate of losses and Costs.</w:t>
      </w:r>
      <w:r>
        <w:rPr>
          <w:rFonts w:cs="Arial Narrow" w:ascii="Arial Narrow" w:hAnsi="Arial Narrow"/>
          <w:sz w:val="18"/>
        </w:rPr>
        <w:t xml:space="preserve">  Loss shall include any loss of bargain, cost of funding or, at the election of such Party, but without duplication, loss incurred as a result of its terminating, liquidating, obtaining or reestablishing any hedge or related trading position (taking into account any Gain resulting from any of them).  Finally, Loss includes losses (taking into account Gain) in respect of any payment or delivery required to have been made (assuming satisfaction of each applicable condition precedent) on or before the relevant Early Termination Date that was not in fact made.</w:t>
      </w:r>
    </w:p>
    <w:p>
      <w:pPr>
        <w:pStyle w:val="Normal"/>
        <w:jc w:val="both"/>
        <w:rPr/>
      </w:pPr>
      <w:r>
        <w:rPr>
          <w:rFonts w:cs="Arial Narrow" w:ascii="Arial Narrow" w:hAnsi="Arial Narrow"/>
          <w:b/>
          <w:bCs/>
          <w:sz w:val="18"/>
        </w:rPr>
        <w:t>“</w:t>
      </w:r>
      <w:r>
        <w:rPr>
          <w:rFonts w:cs="Arial Narrow" w:ascii="Arial Narrow" w:hAnsi="Arial Narrow"/>
          <w:b/>
          <w:bCs/>
          <w:sz w:val="18"/>
          <w:u w:val="single"/>
        </w:rPr>
        <w:t>Merger Event</w:t>
      </w:r>
      <w:r>
        <w:rPr>
          <w:rFonts w:cs="Arial Narrow" w:ascii="Arial Narrow" w:hAnsi="Arial Narrow"/>
          <w:b/>
          <w:bCs/>
          <w:sz w:val="18"/>
        </w:rPr>
        <w:t>”</w:t>
      </w:r>
      <w:r>
        <w:rPr>
          <w:rFonts w:cs="Arial Narrow" w:ascii="Arial Narrow" w:hAnsi="Arial Narrow"/>
          <w:sz w:val="18"/>
        </w:rPr>
        <w:t xml:space="preserve"> shall mean the merger of a Transaction Party  with or the transfer of substantially all of its assets to another entity, </w:t>
      </w:r>
      <w:r>
        <w:rPr>
          <w:rFonts w:cs="Arial Narrow" w:ascii="Arial Narrow" w:hAnsi="Arial Narrow"/>
          <w:sz w:val="18"/>
          <w:u w:val="single"/>
        </w:rPr>
        <w:t>if</w:t>
      </w:r>
      <w:r>
        <w:rPr>
          <w:rFonts w:cs="Arial Narrow" w:ascii="Arial Narrow" w:hAnsi="Arial Narrow"/>
          <w:sz w:val="18"/>
        </w:rPr>
        <w:t xml:space="preserve"> (1) the resulting entity fails to assume all relevant Transaction Party’s obligations; (2) the creditworthiness of the resulting entity is materially weaker than the relevant Transaction Party; (3) any Credit Support Document no longer affords a Party the protection it provided prior to the merger or transfer, or (4) the governmental agencies authorized to levy and collect Taxes as to the resulting entity and/or the nature of Taxes payable by the resulting entity is significantly different.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i/>
          <w:i/>
          <w:spacing w:val="-2"/>
          <w:sz w:val="18"/>
        </w:rPr>
      </w:pPr>
      <w:r>
        <w:rPr>
          <w:rFonts w:cs="Arial Narrow" w:ascii="Arial Narrow" w:hAnsi="Arial Narrow"/>
          <w:b/>
          <w:bCs/>
          <w:spacing w:val="-2"/>
          <w:sz w:val="18"/>
        </w:rPr>
        <w:t>“</w:t>
      </w:r>
      <w:r>
        <w:rPr>
          <w:rFonts w:cs="Arial Narrow" w:ascii="Arial Narrow" w:hAnsi="Arial Narrow"/>
          <w:b/>
          <w:bCs/>
          <w:spacing w:val="-2"/>
          <w:sz w:val="18"/>
          <w:u w:val="single"/>
        </w:rPr>
        <w:t>New Taxes</w:t>
      </w:r>
      <w:r>
        <w:rPr>
          <w:rFonts w:cs="Arial Narrow" w:ascii="Arial Narrow" w:hAnsi="Arial Narrow"/>
          <w:b/>
          <w:bCs/>
          <w:spacing w:val="-2"/>
          <w:sz w:val="18"/>
        </w:rPr>
        <w:t>”</w:t>
      </w:r>
      <w:r>
        <w:rPr>
          <w:rFonts w:cs="Arial Narrow" w:ascii="Arial Narrow" w:hAnsi="Arial Narrow"/>
          <w:spacing w:val="-2"/>
          <w:sz w:val="18"/>
        </w:rPr>
        <w:t xml:space="preserve"> means </w:t>
      </w:r>
      <w:r>
        <w:rPr>
          <w:rFonts w:cs="Arial Narrow" w:ascii="Arial Narrow" w:hAnsi="Arial Narrow"/>
          <w:sz w:val="18"/>
        </w:rPr>
        <w:t>any taxes or other governmental fees or assessments effective after the Trade Date, other than taxes based on net income or net worth.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Arial Narrow" w:ascii="Arial Narrow" w:hAnsi="Arial Narrow"/>
          <w:b/>
          <w:bCs/>
          <w:spacing w:val="-2"/>
          <w:sz w:val="18"/>
        </w:rPr>
        <w:t>“</w:t>
      </w:r>
      <w:r>
        <w:rPr>
          <w:rFonts w:cs="Arial Narrow" w:ascii="Arial Narrow" w:hAnsi="Arial Narrow"/>
          <w:b/>
          <w:bCs/>
          <w:spacing w:val="-2"/>
          <w:sz w:val="18"/>
          <w:u w:val="single"/>
        </w:rPr>
        <w:t>Option</w:t>
      </w:r>
      <w:r>
        <w:rPr>
          <w:rFonts w:cs="Arial Narrow" w:ascii="Arial Narrow" w:hAnsi="Arial Narrow"/>
          <w:b/>
          <w:bCs/>
          <w:spacing w:val="-2"/>
          <w:sz w:val="18"/>
        </w:rPr>
        <w:t>”</w:t>
      </w:r>
      <w:r>
        <w:rPr>
          <w:rFonts w:cs="Arial Narrow" w:ascii="Arial Narrow" w:hAnsi="Arial Narrow"/>
          <w:spacing w:val="-2"/>
          <w:sz w:val="18"/>
        </w:rPr>
        <w:t xml:space="preserve"> means a right that a Party grants to the other Party to either sell or purchase the Option quantity.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Arial Narrow" w:ascii="Arial Narrow" w:hAnsi="Arial Narrow"/>
          <w:b/>
          <w:bCs/>
          <w:sz w:val="18"/>
        </w:rPr>
        <w:t>“</w:t>
      </w:r>
      <w:r>
        <w:rPr>
          <w:rFonts w:cs="Arial Narrow" w:ascii="Arial Narrow" w:hAnsi="Arial Narrow"/>
          <w:b/>
          <w:bCs/>
          <w:sz w:val="18"/>
          <w:u w:val="single"/>
        </w:rPr>
        <w:t>Performance Assurance</w:t>
      </w:r>
      <w:r>
        <w:rPr>
          <w:rFonts w:cs="Arial Narrow" w:ascii="Arial Narrow" w:hAnsi="Arial Narrow"/>
          <w:b/>
          <w:bCs/>
          <w:sz w:val="18"/>
        </w:rPr>
        <w:t>”</w:t>
      </w:r>
      <w:r>
        <w:rPr>
          <w:rFonts w:cs="Arial Narrow" w:ascii="Arial Narrow" w:hAnsi="Arial Narrow"/>
          <w:sz w:val="18"/>
        </w:rPr>
        <w:t xml:space="preserve"> shall mean delivery of cash or Credit Support Documents by a Transaction Party as to one of more Transactions.</w:t>
      </w:r>
    </w:p>
    <w:p>
      <w:pPr>
        <w:pStyle w:val="Normal"/>
        <w:jc w:val="both"/>
        <w:rPr/>
      </w:pPr>
      <w:r>
        <w:rPr>
          <w:rFonts w:cs="Arial Narrow" w:ascii="Arial Narrow" w:hAnsi="Arial Narrow"/>
          <w:b/>
          <w:bCs/>
          <w:sz w:val="18"/>
        </w:rPr>
        <w:t>“</w:t>
      </w:r>
      <w:r>
        <w:rPr>
          <w:rFonts w:cs="Arial Narrow" w:ascii="Arial Narrow" w:hAnsi="Arial Narrow"/>
          <w:b/>
          <w:bCs/>
          <w:sz w:val="18"/>
          <w:u w:val="single"/>
        </w:rPr>
        <w:t>Purchase Price</w:t>
      </w:r>
      <w:r>
        <w:rPr>
          <w:rFonts w:cs="Arial Narrow" w:ascii="Arial Narrow" w:hAnsi="Arial Narrow"/>
          <w:b/>
          <w:bCs/>
          <w:sz w:val="18"/>
        </w:rPr>
        <w:t>”</w:t>
      </w:r>
      <w:r>
        <w:rPr>
          <w:rFonts w:cs="Arial Narrow" w:ascii="Arial Narrow" w:hAnsi="Arial Narrow"/>
          <w:sz w:val="18"/>
        </w:rPr>
        <w:t xml:space="preserve"> means the price in U.S. Dollars (unless otherwise provided for in a Confirmation) to be paid by Buyer to Seller for the purchase of the Commodity.</w:t>
      </w:r>
    </w:p>
    <w:p>
      <w:pPr>
        <w:pStyle w:val="BodyText"/>
        <w:jc w:val="both"/>
        <w:rPr/>
      </w:pPr>
      <w:r>
        <w:rPr>
          <w:rFonts w:cs="Arial Narrow" w:ascii="Arial Narrow" w:hAnsi="Arial Narrow"/>
          <w:b/>
          <w:bCs/>
          <w:sz w:val="18"/>
        </w:rPr>
        <w:t>“</w:t>
      </w:r>
      <w:r>
        <w:rPr>
          <w:rFonts w:cs="Arial Narrow" w:ascii="Arial Narrow" w:hAnsi="Arial Narrow"/>
          <w:b/>
          <w:bCs/>
          <w:sz w:val="18"/>
          <w:u w:val="single"/>
        </w:rPr>
        <w:t>Replacement Price</w:t>
      </w:r>
      <w:r>
        <w:rPr>
          <w:rFonts w:cs="Arial Narrow" w:ascii="Arial Narrow" w:hAnsi="Arial Narrow"/>
          <w:b/>
          <w:bCs/>
          <w:sz w:val="18"/>
        </w:rPr>
        <w:t>”</w:t>
      </w:r>
      <w:r>
        <w:rPr>
          <w:rFonts w:cs="Arial Narrow" w:ascii="Arial Narrow" w:hAnsi="Arial Narrow"/>
          <w:sz w:val="18"/>
        </w:rPr>
        <w:t xml:space="preserve"> means the price at which Buyer purchases substitute Commodity, in a commercially reasonable manner, or absent such purchase, the market price for such quantity of Commodity FOB Delivery Point.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b/>
          <w:sz w:val="18"/>
        </w:rPr>
      </w:pPr>
      <w:r>
        <w:rPr>
          <w:rFonts w:cs="Arial Narrow" w:ascii="Arial Narrow" w:hAnsi="Arial Narrow"/>
          <w:b/>
          <w:bCs/>
          <w:sz w:val="18"/>
        </w:rPr>
        <w:t>“</w:t>
      </w:r>
      <w:r>
        <w:rPr>
          <w:rFonts w:cs="Arial Narrow" w:ascii="Arial Narrow" w:hAnsi="Arial Narrow"/>
          <w:b/>
          <w:bCs/>
          <w:sz w:val="18"/>
          <w:u w:val="single"/>
        </w:rPr>
        <w:t>Sales Price</w:t>
      </w:r>
      <w:r>
        <w:rPr>
          <w:rFonts w:cs="Arial Narrow" w:ascii="Arial Narrow" w:hAnsi="Arial Narrow"/>
          <w:b/>
          <w:bCs/>
          <w:sz w:val="18"/>
        </w:rPr>
        <w:t xml:space="preserve">” </w:t>
      </w:r>
      <w:r>
        <w:rPr>
          <w:rFonts w:cs="Arial Narrow" w:ascii="Arial Narrow" w:hAnsi="Arial Narrow"/>
          <w:sz w:val="18"/>
        </w:rPr>
        <w:t>means the price at which Seller resells the Commodity, in a commercially reasonable manner, or absent such sale, the market price for such quantity of the Commodity FOB Delivery Point.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Arial Narrow" w:ascii="Arial Narrow" w:hAnsi="Arial Narrow"/>
          <w:b/>
          <w:sz w:val="18"/>
        </w:rPr>
        <w:t>“</w:t>
      </w:r>
      <w:r>
        <w:rPr>
          <w:rFonts w:cs="Arial Narrow" w:ascii="Arial Narrow" w:hAnsi="Arial Narrow"/>
          <w:b/>
          <w:sz w:val="18"/>
          <w:u w:val="single"/>
        </w:rPr>
        <w:t>Seller</w:t>
      </w:r>
      <w:r>
        <w:rPr>
          <w:rFonts w:cs="Arial Narrow" w:ascii="Arial Narrow" w:hAnsi="Arial Narrow"/>
          <w:b/>
          <w:sz w:val="18"/>
        </w:rPr>
        <w:t xml:space="preserve">” </w:t>
      </w:r>
      <w:r>
        <w:rPr>
          <w:rFonts w:cs="Arial Narrow" w:ascii="Arial Narrow" w:hAnsi="Arial Narrow"/>
          <w:sz w:val="18"/>
        </w:rPr>
        <w:t>means the Party to a Transaction who is obligated to sell and deliver the Commodity.</w:t>
      </w:r>
    </w:p>
    <w:p>
      <w:pPr>
        <w:pStyle w:val="Normal"/>
        <w:tabs>
          <w:tab w:val="clear" w:pos="720"/>
          <w:tab w:val="left" w:pos="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both"/>
        <w:rPr/>
      </w:pPr>
      <w:r>
        <w:rPr>
          <w:rFonts w:cs="Arial Narrow" w:ascii="Arial Narrow" w:hAnsi="Arial Narrow"/>
          <w:b/>
          <w:sz w:val="18"/>
        </w:rPr>
        <w:t>“</w:t>
      </w:r>
      <w:r>
        <w:rPr>
          <w:rFonts w:cs="Arial Narrow" w:ascii="Arial Narrow" w:hAnsi="Arial Narrow"/>
          <w:b/>
          <w:sz w:val="18"/>
          <w:u w:val="single"/>
        </w:rPr>
        <w:t>Taxes</w:t>
      </w:r>
      <w:r>
        <w:rPr>
          <w:rFonts w:cs="Arial Narrow" w:ascii="Arial Narrow" w:hAnsi="Arial Narrow"/>
          <w:b/>
          <w:sz w:val="18"/>
        </w:rPr>
        <w:t>”</w:t>
      </w:r>
      <w:r>
        <w:rPr>
          <w:rFonts w:cs="Arial Narrow" w:ascii="Arial Narrow" w:hAnsi="Arial Narrow"/>
          <w:sz w:val="18"/>
        </w:rPr>
        <w:t xml:space="preserve"> means ad valorem, property, occupation, gross receipts, privilege, sales, use, value added, consumption, excise, lease, transaction, and other taxes, governmental charges, licenses, fees, permits and assessments, other than taxes based on net income or net worth.</w:t>
      </w:r>
    </w:p>
    <w:p>
      <w:pPr>
        <w:pStyle w:val="Normal"/>
        <w:tabs>
          <w:tab w:val="clear" w:pos="720"/>
          <w:tab w:val="left" w:pos="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both"/>
        <w:rPr/>
      </w:pPr>
      <w:r>
        <w:rPr>
          <w:rFonts w:cs="Arial Narrow" w:ascii="Arial Narrow" w:hAnsi="Arial Narrow"/>
          <w:b/>
          <w:bCs/>
          <w:sz w:val="18"/>
        </w:rPr>
        <w:t>“</w:t>
      </w:r>
      <w:r>
        <w:rPr>
          <w:rFonts w:cs="Arial Narrow" w:ascii="Arial Narrow" w:hAnsi="Arial Narrow"/>
          <w:b/>
          <w:bCs/>
          <w:sz w:val="18"/>
          <w:u w:val="single"/>
        </w:rPr>
        <w:t>Trade Duty Increase</w:t>
      </w:r>
      <w:r>
        <w:rPr>
          <w:rFonts w:cs="Arial Narrow" w:ascii="Arial Narrow" w:hAnsi="Arial Narrow"/>
          <w:b/>
          <w:bCs/>
          <w:sz w:val="18"/>
        </w:rPr>
        <w:t>”</w:t>
      </w:r>
      <w:r>
        <w:rPr>
          <w:rFonts w:cs="Arial Narrow" w:ascii="Arial Narrow" w:hAnsi="Arial Narrow"/>
          <w:sz w:val="18"/>
        </w:rPr>
        <w:t xml:space="preserve"> means the result of legislation or the action of a governmental agency that (a) imposes of a new or increased Trade Duty on a Commodity and (b) makes it uneconomic for the Importer of Record to continue importing or purchasing a Commodity in the manner contemplated by the applicable Transaction.  For purposes of this definition,</w:t>
      </w:r>
      <w:r>
        <w:rPr>
          <w:rFonts w:cs="Arial Narrow" w:ascii="Arial Narrow" w:hAnsi="Arial Narrow"/>
          <w:b/>
          <w:bCs/>
          <w:sz w:val="18"/>
        </w:rPr>
        <w:t xml:space="preserve"> </w:t>
      </w:r>
      <w:r>
        <w:rPr>
          <w:rFonts w:cs="Arial Narrow" w:ascii="Arial Narrow" w:hAnsi="Arial Narrow"/>
          <w:sz w:val="18"/>
        </w:rPr>
        <w:t>“</w:t>
      </w:r>
      <w:r>
        <w:rPr>
          <w:rFonts w:cs="Arial Narrow" w:ascii="Arial Narrow" w:hAnsi="Arial Narrow"/>
          <w:sz w:val="18"/>
          <w:u w:val="single"/>
        </w:rPr>
        <w:t>Trade Duty</w:t>
      </w:r>
      <w:r>
        <w:rPr>
          <w:rFonts w:cs="Arial Narrow" w:ascii="Arial Narrow" w:hAnsi="Arial Narrow"/>
          <w:sz w:val="18"/>
        </w:rPr>
        <w:t>” means any measure, duty, fee, Tax or charges imposed on the import or export of a Commodity, including, but not limited to, antidumping or countervailing duties, changes in valuation methodology for customs purposes or user fees, but shall specifically exclude a Trade Surcharge.</w:t>
      </w:r>
    </w:p>
    <w:p>
      <w:pPr>
        <w:pStyle w:val="Normal"/>
        <w:tabs>
          <w:tab w:val="clear" w:pos="720"/>
          <w:tab w:val="left" w:pos="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both"/>
        <w:rPr/>
      </w:pPr>
      <w:r>
        <w:rPr>
          <w:rFonts w:cs="Arial Narrow" w:ascii="Arial Narrow" w:hAnsi="Arial Narrow"/>
          <w:b/>
          <w:bCs/>
          <w:sz w:val="18"/>
        </w:rPr>
        <w:t>“</w:t>
      </w:r>
      <w:r>
        <w:rPr>
          <w:rFonts w:cs="Arial Narrow" w:ascii="Arial Narrow" w:hAnsi="Arial Narrow"/>
          <w:b/>
          <w:bCs/>
          <w:sz w:val="18"/>
          <w:u w:val="single"/>
        </w:rPr>
        <w:t>Trade Restriction</w:t>
      </w:r>
      <w:r>
        <w:rPr>
          <w:rFonts w:cs="Arial Narrow" w:ascii="Arial Narrow" w:hAnsi="Arial Narrow"/>
          <w:b/>
          <w:bCs/>
          <w:sz w:val="18"/>
        </w:rPr>
        <w:t>”</w:t>
      </w:r>
      <w:r>
        <w:rPr>
          <w:rFonts w:cs="Arial Narrow" w:ascii="Arial Narrow" w:hAnsi="Arial Narrow"/>
          <w:sz w:val="18"/>
        </w:rPr>
        <w:t xml:space="preserve"> means the result of legislation or the action of a governmental agency that (a) involves imposition of a boycott (including the obligation that a Party participant in the boycott of another jurisdiction), or the imposition of a quota, export restraint, or other non-tariff barrier and (b) makes it unlawful or impossible as a practical matter for a Party to import or export a Commodity in the manner contemplated by the applicable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18"/>
        </w:rPr>
      </w:pPr>
      <w:r>
        <w:rPr>
          <w:rFonts w:cs="Arial Narrow" w:ascii="Arial Narrow" w:hAnsi="Arial Narrow"/>
          <w:b/>
          <w:bCs/>
          <w:sz w:val="18"/>
        </w:rPr>
        <w:t>“</w:t>
      </w:r>
      <w:r>
        <w:rPr>
          <w:rFonts w:cs="Arial Narrow" w:ascii="Arial Narrow" w:hAnsi="Arial Narrow"/>
          <w:b/>
          <w:bCs/>
          <w:sz w:val="18"/>
          <w:u w:val="single"/>
        </w:rPr>
        <w:t>Trade Surcharge</w:t>
      </w:r>
      <w:r>
        <w:rPr>
          <w:rFonts w:cs="Arial Narrow" w:ascii="Arial Narrow" w:hAnsi="Arial Narrow"/>
          <w:b/>
          <w:bCs/>
          <w:sz w:val="18"/>
        </w:rPr>
        <w:t>”</w:t>
      </w:r>
      <w:r>
        <w:rPr>
          <w:rFonts w:cs="Arial Narrow" w:ascii="Arial Narrow" w:hAnsi="Arial Narrow"/>
          <w:sz w:val="18"/>
        </w:rPr>
        <w:t xml:space="preserve"> means </w:t>
      </w:r>
      <w:r>
        <w:rPr>
          <w:rStyle w:val="Justified"/>
          <w:rFonts w:cs="Arial Narrow" w:ascii="Arial Narrow" w:hAnsi="Arial Narrow"/>
          <w:bCs/>
          <w:sz w:val="18"/>
        </w:rPr>
        <w:t>the imposition of a material surcharge or similar fee on the domestic purchase or sale of the Commodity, which imposition results from United States governmental action designed to give trade relief to U.S. domestic producers of the same type of good as the Commodity vis-à-vis importers into the United States of the same type of good.</w:t>
      </w:r>
    </w:p>
    <w:p>
      <w:pPr>
        <w:pStyle w:val="Normal"/>
        <w:tabs>
          <w:tab w:val="clear" w:pos="720"/>
          <w:tab w:val="left" w:pos="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both"/>
        <w:rPr/>
      </w:pPr>
      <w:r>
        <w:rPr>
          <w:rFonts w:cs="Arial Narrow" w:ascii="Arial Narrow" w:hAnsi="Arial Narrow"/>
          <w:b/>
          <w:bCs/>
          <w:sz w:val="18"/>
        </w:rPr>
        <w:t>“</w:t>
      </w:r>
      <w:r>
        <w:rPr>
          <w:rFonts w:cs="Arial Narrow" w:ascii="Arial Narrow" w:hAnsi="Arial Narrow"/>
          <w:b/>
          <w:bCs/>
          <w:sz w:val="18"/>
          <w:u w:val="single"/>
        </w:rPr>
        <w:t>Transaction Party</w:t>
      </w:r>
      <w:r>
        <w:rPr>
          <w:rFonts w:cs="Arial Narrow" w:ascii="Arial Narrow" w:hAnsi="Arial Narrow"/>
          <w:b/>
          <w:bCs/>
          <w:sz w:val="18"/>
        </w:rPr>
        <w:t xml:space="preserve">” </w:t>
      </w:r>
      <w:r>
        <w:rPr>
          <w:rFonts w:cs="Arial Narrow" w:ascii="Arial Narrow" w:hAnsi="Arial Narrow"/>
          <w:sz w:val="18"/>
        </w:rPr>
        <w:t>means, collectively, a Party and all of its Credit Support Parties as to a Transaction.</w:t>
      </w:r>
    </w:p>
    <w:p>
      <w:pPr>
        <w:sectPr>
          <w:type w:val="continuous"/>
          <w:pgSz w:w="12240" w:h="15840"/>
          <w:pgMar w:left="1008" w:right="1008" w:gutter="0" w:header="720" w:top="1296" w:footer="576" w:bottom="1296"/>
          <w:cols w:num="2" w:space="708" w:equalWidth="true" w:sep="false"/>
          <w:formProt w:val="false"/>
          <w:vAlign w:val="center"/>
          <w:textDirection w:val="lrTb"/>
          <w:docGrid w:type="default" w:linePitch="360" w:charSpace="0"/>
        </w:sectPr>
      </w:pPr>
    </w:p>
    <w:p>
      <w:pPr>
        <w:pStyle w:val="Normal"/>
        <w:tabs>
          <w:tab w:val="clear" w:pos="720"/>
          <w:tab w:val="left" w:pos="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center"/>
        <w:rPr>
          <w:rFonts w:ascii="Arial Narrow" w:hAnsi="Arial Narrow" w:cs="Arial Narrow"/>
          <w:b/>
          <w:bCs/>
          <w:sz w:val="24"/>
        </w:rPr>
      </w:pPr>
      <w:r>
        <w:rPr>
          <w:rFonts w:cs="Arial Narrow" w:ascii="Arial Narrow" w:hAnsi="Arial Narrow"/>
          <w:b/>
          <w:bCs/>
          <w:sz w:val="24"/>
        </w:rPr>
        <w:t>[FOR USE WITH STEEL PURCHASE GTCS]\</w:t>
      </w:r>
    </w:p>
    <w:p>
      <w:pPr>
        <w:pStyle w:val="Normal"/>
        <w:tabs>
          <w:tab w:val="clear" w:pos="720"/>
          <w:tab w:val="left" w:pos="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center"/>
        <w:rPr>
          <w:rFonts w:ascii="Arial Narrow" w:hAnsi="Arial Narrow" w:cs="Arial Narrow"/>
          <w:b/>
          <w:bCs/>
          <w:sz w:val="24"/>
        </w:rPr>
      </w:pPr>
      <w:r>
        <w:rPr>
          <w:rFonts w:cs="Arial Narrow" w:ascii="Arial Narrow" w:hAnsi="Arial Narrow"/>
          <w:b/>
          <w:bCs/>
          <w:sz w:val="24"/>
        </w:rPr>
      </w:r>
    </w:p>
    <w:p>
      <w:pPr>
        <w:pStyle w:val="Normal"/>
        <w:tabs>
          <w:tab w:val="clear" w:pos="720"/>
          <w:tab w:val="left" w:pos="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center"/>
        <w:rPr>
          <w:rFonts w:ascii="Arial Narrow" w:hAnsi="Arial Narrow" w:cs="Arial Narrow"/>
          <w:sz w:val="24"/>
        </w:rPr>
      </w:pPr>
      <w:r>
        <w:rPr>
          <w:rFonts w:cs="Arial Narrow" w:ascii="Arial Narrow" w:hAnsi="Arial Narrow"/>
          <w:sz w:val="24"/>
        </w:rPr>
        <w:t>APPENDIX I</w:t>
      </w:r>
    </w:p>
    <w:p>
      <w:pPr>
        <w:pStyle w:val="Normal"/>
        <w:tabs>
          <w:tab w:val="clear" w:pos="720"/>
          <w:tab w:val="left" w:pos="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center"/>
        <w:rPr>
          <w:rFonts w:ascii="Arial Narrow" w:hAnsi="Arial Narrow" w:cs="Arial Narrow"/>
          <w:sz w:val="24"/>
        </w:rPr>
      </w:pPr>
      <w:r>
        <w:rPr>
          <w:rFonts w:cs="Arial Narrow" w:ascii="Arial Narrow" w:hAnsi="Arial Narrow"/>
          <w:sz w:val="24"/>
        </w:rPr>
      </w:r>
    </w:p>
    <w:p>
      <w:pPr>
        <w:pStyle w:val="Normal"/>
        <w:tabs>
          <w:tab w:val="clear" w:pos="720"/>
          <w:tab w:val="left" w:pos="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center"/>
        <w:rPr>
          <w:rFonts w:ascii="Arial Narrow" w:hAnsi="Arial Narrow" w:cs="Arial Narrow"/>
          <w:sz w:val="24"/>
        </w:rPr>
      </w:pPr>
      <w:r>
        <w:rPr>
          <w:rFonts w:cs="Arial Narrow" w:ascii="Arial Narrow" w:hAnsi="Arial Narrow"/>
          <w:sz w:val="24"/>
        </w:rPr>
        <w:t>CLAIMS PROCEDURES</w:t>
      </w:r>
    </w:p>
    <w:p>
      <w:pPr>
        <w:pStyle w:val="Normal"/>
        <w:tabs>
          <w:tab w:val="clear" w:pos="720"/>
          <w:tab w:val="left" w:pos="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center"/>
        <w:rPr>
          <w:rFonts w:ascii="Arial Narrow" w:hAnsi="Arial Narrow" w:cs="Arial Narrow"/>
          <w:sz w:val="24"/>
        </w:rPr>
      </w:pPr>
      <w:r>
        <w:rPr>
          <w:rFonts w:cs="Arial Narrow" w:ascii="Arial Narrow" w:hAnsi="Arial Narrow"/>
          <w:sz w:val="24"/>
        </w:rPr>
      </w:r>
    </w:p>
    <w:p>
      <w:pPr>
        <w:pStyle w:val="Normal"/>
        <w:numPr>
          <w:ilvl w:val="0"/>
          <w:numId w:val="6"/>
        </w:numPr>
        <w:tabs>
          <w:tab w:val="clear" w:pos="720"/>
          <w:tab w:val="left" w:pos="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both"/>
        <w:rPr>
          <w:rFonts w:ascii="Arial Narrow" w:hAnsi="Arial Narrow" w:cs="Arial Narrow"/>
          <w:sz w:val="20"/>
        </w:rPr>
      </w:pPr>
      <w:r>
        <w:rPr>
          <w:rFonts w:cs="Arial Narrow" w:ascii="Arial Narrow" w:hAnsi="Arial Narrow"/>
          <w:sz w:val="20"/>
        </w:rPr>
        <w:t>Buyer shall have a maximum of 60 days after delivery of the Commodity to visually inspect for Defects (i.e., those pertaining to weight and width parameters, thickness, packaging/banding, surface conditions, piece count) to elect the remedy under subsection 6.1(c) of these Terms.</w:t>
      </w:r>
    </w:p>
    <w:p>
      <w:pPr>
        <w:pStyle w:val="Normal"/>
        <w:numPr>
          <w:ilvl w:val="0"/>
          <w:numId w:val="6"/>
        </w:numPr>
        <w:tabs>
          <w:tab w:val="clear" w:pos="720"/>
          <w:tab w:val="left" w:pos="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both"/>
        <w:rPr>
          <w:rFonts w:ascii="Arial Narrow" w:hAnsi="Arial Narrow" w:cs="Arial Narrow"/>
          <w:sz w:val="20"/>
        </w:rPr>
      </w:pPr>
      <w:r>
        <w:rPr>
          <w:rFonts w:cs="Arial Narrow" w:ascii="Arial Narrow" w:hAnsi="Arial Narrow"/>
          <w:sz w:val="20"/>
        </w:rPr>
        <w:t>Buyer shall have a maximum of 210 days after delivery of the Commodity to otherwise test and inspect for latent or hidden Defects (i.e., those pertaining to interior surface or other condition, chemistry, lamination, scale, edge wave, gouges, pits) to elect the remedy under subsection 6.1(c) of these Terms</w:t>
      </w:r>
    </w:p>
    <w:p>
      <w:pPr>
        <w:pStyle w:val="Normal"/>
        <w:numPr>
          <w:ilvl w:val="0"/>
          <w:numId w:val="6"/>
        </w:numPr>
        <w:tabs>
          <w:tab w:val="clear" w:pos="720"/>
          <w:tab w:val="left" w:pos="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both"/>
        <w:rPr>
          <w:rFonts w:ascii="Arial Narrow" w:hAnsi="Arial Narrow" w:cs="Arial Narrow"/>
          <w:sz w:val="20"/>
        </w:rPr>
      </w:pPr>
      <w:r>
        <w:rPr>
          <w:rFonts w:cs="Arial Narrow" w:ascii="Arial Narrow" w:hAnsi="Arial Narrow"/>
          <w:sz w:val="20"/>
        </w:rPr>
        <w:t>Buyer shall notify Seller pursuant to the notice provisions of this Agreement of the remedy elected within the foregoing time parameters, stating the nature of the Defect, accompanied by applicable supporting documentation.</w:t>
      </w:r>
    </w:p>
    <w:p>
      <w:pPr>
        <w:pStyle w:val="Normal"/>
        <w:numPr>
          <w:ilvl w:val="0"/>
          <w:numId w:val="6"/>
        </w:numPr>
        <w:jc w:val="both"/>
        <w:rPr>
          <w:rFonts w:ascii="Arial Narrow" w:hAnsi="Arial Narrow" w:cs="Arial Narrow"/>
          <w:sz w:val="20"/>
        </w:rPr>
      </w:pPr>
      <w:r>
        <w:rPr>
          <w:rFonts w:cs="Arial Narrow" w:ascii="Arial Narrow" w:hAnsi="Arial Narrow"/>
          <w:sz w:val="20"/>
        </w:rPr>
        <w:t>If Counterparty is Buyer, Buyer must immediately notify ENA of the Defect at the office shown on the Confirmation.</w:t>
      </w:r>
    </w:p>
    <w:p>
      <w:pPr>
        <w:pStyle w:val="Normal"/>
        <w:numPr>
          <w:ilvl w:val="0"/>
          <w:numId w:val="6"/>
        </w:numPr>
        <w:jc w:val="both"/>
        <w:rPr>
          <w:rFonts w:ascii="Arial Narrow" w:hAnsi="Arial Narrow" w:cs="Arial Narrow"/>
          <w:sz w:val="20"/>
        </w:rPr>
      </w:pPr>
      <w:r>
        <w:rPr>
          <w:rFonts w:cs="Arial Narrow" w:ascii="Arial Narrow" w:hAnsi="Arial Narrow"/>
          <w:sz w:val="20"/>
        </w:rPr>
        <w:t>Once Seller has been properly and timely notified in the manner stated in 4. above, Buyer shall have 10 days to inspect the Commodity at the Delivery Point.  Once Seller has complied with all requirements of this Claims Procedure, it shall have the right to proceed with to elect one of the three applicable remedies set forth in subsection 6.1(c) of these Terms.</w:t>
      </w:r>
    </w:p>
    <w:p>
      <w:pPr>
        <w:pStyle w:val="Normal"/>
        <w:numPr>
          <w:ilvl w:val="0"/>
          <w:numId w:val="6"/>
        </w:numPr>
        <w:jc w:val="both"/>
        <w:rPr>
          <w:rFonts w:ascii="Arial Narrow" w:hAnsi="Arial Narrow" w:cs="Arial Narrow"/>
          <w:sz w:val="20"/>
        </w:rPr>
      </w:pPr>
      <w:r>
        <w:rPr>
          <w:rFonts w:cs="Arial Narrow" w:ascii="Arial Narrow" w:hAnsi="Arial Narrow"/>
          <w:sz w:val="20"/>
        </w:rPr>
        <w:t>Notwithstanding any other provision of these Terms, if Buyer or its purchaser uses the Commodity prior to affording Seller the inspection right set forth above, Seller shall be entitled to be paid the full price therefor, and Buyer will be deemed to have waived its rights under subsection 6.1(c) of these Terms.</w:t>
      </w:r>
    </w:p>
    <w:p>
      <w:pPr>
        <w:sectPr>
          <w:headerReference w:type="default" r:id="rId4"/>
          <w:footerReference w:type="default" r:id="rId5"/>
          <w:type w:val="nextPage"/>
          <w:pgSz w:w="12240" w:h="15840"/>
          <w:pgMar w:left="1008" w:right="1008" w:gutter="0" w:header="720" w:top="1008" w:footer="720" w:bottom="1008"/>
          <w:pgNumType w:fmt="decimal"/>
          <w:formProt w:val="false"/>
          <w:textDirection w:val="lrTb"/>
          <w:docGrid w:type="default" w:linePitch="360" w:charSpace="0"/>
        </w:sectPr>
        <w:pStyle w:val="Normal"/>
        <w:tabs>
          <w:tab w:val="clear" w:pos="720"/>
          <w:tab w:val="left" w:pos="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both"/>
        <w:rPr>
          <w:rFonts w:ascii="Arial Narrow" w:hAnsi="Arial Narrow" w:cs="Arial Narrow"/>
          <w:sz w:val="24"/>
        </w:rPr>
      </w:pPr>
      <w:r>
        <w:rPr>
          <w:rFonts w:cs="Arial Narrow" w:ascii="Arial Narrow" w:hAnsi="Arial Narrow"/>
          <w:sz w:val="24"/>
        </w:rPr>
      </w:r>
    </w:p>
    <w:p>
      <w:pPr>
        <w:pStyle w:val="Normal"/>
        <w:tabs>
          <w:tab w:val="clear" w:pos="720"/>
          <w:tab w:val="left" w:pos="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center"/>
        <w:rPr>
          <w:rFonts w:ascii="Arial Narrow" w:hAnsi="Arial Narrow" w:cs="Arial Narrow"/>
          <w:b/>
          <w:bCs/>
          <w:sz w:val="24"/>
        </w:rPr>
      </w:pPr>
      <w:r>
        <w:rPr>
          <w:rFonts w:cs="Arial Narrow" w:ascii="Arial Narrow" w:hAnsi="Arial Narrow"/>
          <w:b/>
          <w:bCs/>
          <w:sz w:val="24"/>
        </w:rPr>
        <w:t>[FOR USE WITH PULP AND PAPER (FIBER) PURCHASE GTCS]\</w:t>
      </w:r>
    </w:p>
    <w:p>
      <w:pPr>
        <w:pStyle w:val="Normal"/>
        <w:tabs>
          <w:tab w:val="clear" w:pos="720"/>
          <w:tab w:val="left" w:pos="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center"/>
        <w:rPr>
          <w:rFonts w:ascii="Arial Narrow" w:hAnsi="Arial Narrow" w:cs="Arial Narrow"/>
          <w:b/>
          <w:bCs/>
          <w:sz w:val="24"/>
        </w:rPr>
      </w:pPr>
      <w:r>
        <w:rPr>
          <w:rFonts w:cs="Arial Narrow" w:ascii="Arial Narrow" w:hAnsi="Arial Narrow"/>
          <w:b/>
          <w:bCs/>
          <w:sz w:val="24"/>
        </w:rPr>
      </w:r>
    </w:p>
    <w:p>
      <w:pPr>
        <w:pStyle w:val="Normal"/>
        <w:tabs>
          <w:tab w:val="clear" w:pos="720"/>
          <w:tab w:val="left" w:pos="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center"/>
        <w:rPr>
          <w:rFonts w:ascii="Arial Narrow" w:hAnsi="Arial Narrow" w:cs="Arial Narrow"/>
          <w:sz w:val="24"/>
        </w:rPr>
      </w:pPr>
      <w:r>
        <w:rPr>
          <w:rFonts w:cs="Arial Narrow" w:ascii="Arial Narrow" w:hAnsi="Arial Narrow"/>
          <w:sz w:val="24"/>
        </w:rPr>
        <w:t>APPENDIX I</w:t>
      </w:r>
    </w:p>
    <w:p>
      <w:pPr>
        <w:pStyle w:val="Normal"/>
        <w:tabs>
          <w:tab w:val="clear" w:pos="720"/>
          <w:tab w:val="left" w:pos="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center"/>
        <w:rPr>
          <w:rFonts w:ascii="Arial Narrow" w:hAnsi="Arial Narrow" w:cs="Arial Narrow"/>
          <w:sz w:val="24"/>
        </w:rPr>
      </w:pPr>
      <w:r>
        <w:rPr>
          <w:rFonts w:cs="Arial Narrow" w:ascii="Arial Narrow" w:hAnsi="Arial Narrow"/>
          <w:sz w:val="24"/>
        </w:rPr>
      </w:r>
    </w:p>
    <w:p>
      <w:pPr>
        <w:pStyle w:val="Normal"/>
        <w:tabs>
          <w:tab w:val="clear" w:pos="720"/>
          <w:tab w:val="left" w:pos="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center"/>
        <w:rPr>
          <w:rFonts w:ascii="Arial Narrow" w:hAnsi="Arial Narrow" w:cs="Arial Narrow"/>
          <w:sz w:val="24"/>
        </w:rPr>
      </w:pPr>
      <w:r>
        <w:rPr>
          <w:rFonts w:cs="Arial Narrow" w:ascii="Arial Narrow" w:hAnsi="Arial Narrow"/>
          <w:sz w:val="24"/>
        </w:rPr>
        <w:t>CLAIMS PROCEDURES</w:t>
      </w:r>
    </w:p>
    <w:p>
      <w:pPr>
        <w:pStyle w:val="Normal"/>
        <w:tabs>
          <w:tab w:val="clear" w:pos="720"/>
          <w:tab w:val="left" w:pos="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both"/>
        <w:rPr>
          <w:rFonts w:ascii="Arial Narrow" w:hAnsi="Arial Narrow" w:cs="Arial Narrow"/>
          <w:sz w:val="24"/>
        </w:rPr>
      </w:pPr>
      <w:r>
        <w:rPr>
          <w:rFonts w:cs="Arial Narrow" w:ascii="Arial Narrow" w:hAnsi="Arial Narrow"/>
          <w:sz w:val="24"/>
        </w:rPr>
      </w:r>
    </w:p>
    <w:p>
      <w:pPr>
        <w:pStyle w:val="Normal"/>
        <w:numPr>
          <w:ilvl w:val="0"/>
          <w:numId w:val="9"/>
        </w:numPr>
        <w:jc w:val="both"/>
        <w:rPr>
          <w:rFonts w:ascii="Arial Narrow" w:hAnsi="Arial Narrow" w:cs="Arial Narrow"/>
          <w:sz w:val="20"/>
        </w:rPr>
      </w:pPr>
      <w:r>
        <w:rPr>
          <w:rFonts w:cs="Arial Narrow" w:ascii="Arial Narrow" w:hAnsi="Arial Narrow"/>
          <w:sz w:val="20"/>
        </w:rPr>
        <w:t>If during unloading of the Commodity the load does not appear to meet the contract specification standards, Buyer shall take photographs of the suspected Commodity load (whether in bales or as otherwise configured) in the container with the container number visible.</w:t>
      </w:r>
    </w:p>
    <w:p>
      <w:pPr>
        <w:pStyle w:val="Normal"/>
        <w:numPr>
          <w:ilvl w:val="0"/>
          <w:numId w:val="9"/>
        </w:numPr>
        <w:jc w:val="both"/>
        <w:rPr>
          <w:rFonts w:ascii="Arial Narrow" w:hAnsi="Arial Narrow" w:cs="Arial Narrow"/>
          <w:sz w:val="20"/>
        </w:rPr>
      </w:pPr>
      <w:r>
        <w:rPr>
          <w:rFonts w:cs="Arial Narrow" w:ascii="Arial Narrow" w:hAnsi="Arial Narrow"/>
          <w:sz w:val="20"/>
        </w:rPr>
        <w:t>Once a container containing the suspected Commodity is fully unloaded and, one bale of the Commodity per container should be broken apart and sampled.  Results of such sampling must indicate the moisture content, types of contamination present, weight of sample, and weight of contaminants.</w:t>
      </w:r>
    </w:p>
    <w:p>
      <w:pPr>
        <w:pStyle w:val="Normal"/>
        <w:numPr>
          <w:ilvl w:val="0"/>
          <w:numId w:val="9"/>
        </w:numPr>
        <w:jc w:val="both"/>
        <w:rPr>
          <w:rFonts w:ascii="Arial Narrow" w:hAnsi="Arial Narrow" w:cs="Arial Narrow"/>
          <w:sz w:val="20"/>
        </w:rPr>
      </w:pPr>
      <w:r>
        <w:rPr>
          <w:rFonts w:cs="Arial Narrow" w:ascii="Arial Narrow" w:hAnsi="Arial Narrow"/>
          <w:sz w:val="20"/>
        </w:rPr>
        <w:t>If Counterparty is Buyer, Buyer must immediately notify ENA of the Defect at the office shown on the Confirmation [Enron Singapore] and provided with pictures and the sampling results as described in 2. above.</w:t>
      </w:r>
    </w:p>
    <w:p>
      <w:pPr>
        <w:pStyle w:val="Normal"/>
        <w:numPr>
          <w:ilvl w:val="0"/>
          <w:numId w:val="9"/>
        </w:numPr>
        <w:jc w:val="both"/>
        <w:rPr>
          <w:rFonts w:ascii="Arial Narrow" w:hAnsi="Arial Narrow" w:cs="Arial Narrow"/>
          <w:sz w:val="20"/>
        </w:rPr>
      </w:pPr>
      <w:r>
        <w:rPr>
          <w:rFonts w:cs="Arial Narrow" w:ascii="Arial Narrow" w:hAnsi="Arial Narrow"/>
          <w:sz w:val="20"/>
        </w:rPr>
        <w:t>Once Seller has been properly and timely notified in the manner stated in 3. above, Buyer shall have 10 days to inspect the Commodity at the Delivery Point.  Once Seller has complied with all requirements of this Claims Procedure, it shall have the right to proceed with to elect one of the three applicable remedies set forth in subsection 6.1(c) of these Terms.</w:t>
      </w:r>
    </w:p>
    <w:p>
      <w:pPr>
        <w:pStyle w:val="Normal"/>
        <w:numPr>
          <w:ilvl w:val="0"/>
          <w:numId w:val="9"/>
        </w:numPr>
        <w:jc w:val="both"/>
        <w:rPr>
          <w:rFonts w:ascii="Arial Narrow" w:hAnsi="Arial Narrow" w:cs="Arial Narrow"/>
          <w:sz w:val="20"/>
        </w:rPr>
      </w:pPr>
      <w:r>
        <w:rPr>
          <w:rFonts w:cs="Arial Narrow" w:ascii="Arial Narrow" w:hAnsi="Arial Narrow"/>
          <w:sz w:val="20"/>
        </w:rPr>
        <w:t>Notwithstanding any other provision of these Terms, if Buyer or its purchaser uses the Commodity prior to affording Seller the inspection right set forth above, Seller shall be entitled to be paid the full price therefor, and Buyer will be deemed to have waived its rights under subsection 6.1(c) of these Terms.</w:t>
      </w:r>
    </w:p>
    <w:sectPr>
      <w:headerReference w:type="default" r:id="rId6"/>
      <w:headerReference w:type="first" r:id="rId7"/>
      <w:footerReference w:type="default" r:id="rId8"/>
      <w:footerReference w:type="first" r:id="rId9"/>
      <w:type w:val="nextPage"/>
      <w:pgSz w:w="12240" w:h="15840"/>
      <w:pgMar w:left="1008" w:right="1008" w:gutter="0" w:header="72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both"/>
      <w:rPr>
        <w:rFonts w:ascii="Times New Roman" w:hAnsi="Times New Roman" w:cs="Times New Roman"/>
        <w:b/>
        <w:sz w:val="14"/>
      </w:rPr>
    </w:pPr>
    <w:r>
      <w:rPr>
        <w:rFonts w:cs="Times New Roman" w:ascii="Times New Roman" w:hAnsi="Times New Roman"/>
        <w:b/>
        <w:sz w:val="14"/>
      </w:rPr>
      <w:t>THIS IS A SAMPLE FORM OF AGREEMENT ONLY AND DOES NOT INCLUDE ALL PROVISIONS NECESSARY TO IMPLEMENT TRANSACTIONS. IT WILL BE MODIFIED UPON CREDIT REVIEW OF COUNTERPARTY AND TYPE OF LEGAL ENTITY INVOLVED. IT IS PRESENTED FOR DISCUSSION PURPOSES ONLY AND MAY NOT BE EXECUTED FOR ANY PURPOSE.</w:t>
    </w:r>
    <w:r>
      <mc:AlternateContent>
        <mc:Choice Requires="wps">
          <w:drawing>
            <wp:anchor behindDoc="0" distT="0" distB="0" distL="0" distR="0" simplePos="0" locked="0" layoutInCell="0" allowOverlap="1" relativeHeight="8">
              <wp:simplePos x="0" y="0"/>
              <wp:positionH relativeFrom="margin">
                <wp:align>right</wp:align>
              </wp:positionH>
              <wp:positionV relativeFrom="paragraph">
                <wp:posOffset>635</wp:posOffset>
              </wp:positionV>
              <wp:extent cx="58420" cy="134620"/>
              <wp:effectExtent l="0" t="0" r="0" b="0"/>
              <wp:wrapSquare wrapText="bothSides"/>
              <wp:docPr id="2" name="Frame1"/>
              <a:graphic xmlns:a="http://schemas.openxmlformats.org/drawingml/2006/main">
                <a:graphicData uri="http://schemas.microsoft.com/office/word/2010/wordprocessingShape">
                  <wps:wsp>
                    <wps:cNvSpPr txBox="1"/>
                    <wps:spPr>
                      <a:xfrm>
                        <a:off x="0" y="0"/>
                        <a:ext cx="58420" cy="134620"/>
                      </a:xfrm>
                      <a:prstGeom prst="rect"/>
                      <a:solidFill>
                        <a:srgbClr val="FFFFFF">
                          <a:alpha val="0"/>
                        </a:srgbClr>
                      </a:solidFill>
                    </wps:spPr>
                    <wps:txbx>
                      <w:txbxContent>
                        <w:p>
                          <w:pPr>
                            <w:pStyle w:val="Footer"/>
                            <w:rPr>
                              <w:rStyle w:val="PageNumber"/>
                              <w:rFonts w:ascii="Times New Roman" w:hAnsi="Times New Roman" w:cs="Times New Roman"/>
                              <w:sz w:val="18"/>
                            </w:rPr>
                          </w:pPr>
                          <w:r>
                            <w:rPr>
                              <w:rStyle w:val="PageNumber"/>
                              <w:rFonts w:cs="Times New Roman" w:ascii="Times New Roman" w:hAnsi="Times New Roman"/>
                              <w:sz w:val="18"/>
                            </w:rPr>
                            <w:fldChar w:fldCharType="begin"/>
                          </w:r>
                          <w:r>
                            <w:rPr>
                              <w:rStyle w:val="PageNumber"/>
                              <w:sz w:val="18"/>
                              <w:rFonts w:cs="Times New Roman" w:ascii="Times New Roman" w:hAnsi="Times New Roman"/>
                            </w:rPr>
                            <w:instrText xml:space="preserve"> PAGE </w:instrText>
                          </w:r>
                          <w:r>
                            <w:rPr>
                              <w:rStyle w:val="PageNumber"/>
                              <w:sz w:val="18"/>
                              <w:rFonts w:cs="Times New Roman" w:ascii="Times New Roman" w:hAnsi="Times New Roman"/>
                            </w:rPr>
                            <w:fldChar w:fldCharType="separate"/>
                          </w:r>
                          <w:r>
                            <w:rPr>
                              <w:rStyle w:val="PageNumber"/>
                              <w:sz w:val="18"/>
                              <w:rFonts w:cs="Times New Roman" w:ascii="Times New Roman" w:hAnsi="Times New Roman"/>
                            </w:rPr>
                            <w:t>7</w:t>
                          </w:r>
                          <w:r>
                            <w:rPr>
                              <w:rStyle w:val="PageNumber"/>
                              <w:sz w:val="18"/>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4.6pt;height:10.6pt;mso-wrap-distance-left:0pt;mso-wrap-distance-right:0pt;mso-wrap-distance-top:0pt;mso-wrap-distance-bottom:0pt;margin-top:0.05pt;mso-position-vertical-relative:text;margin-left:463.4pt;mso-position-horizontal:right;mso-position-horizontal-relative:margin">
              <v:fill opacity="0f"/>
              <v:textbox inset="0in,0in,0in,0in">
                <w:txbxContent>
                  <w:p>
                    <w:pPr>
                      <w:pStyle w:val="Footer"/>
                      <w:rPr>
                        <w:rStyle w:val="PageNumber"/>
                        <w:rFonts w:ascii="Times New Roman" w:hAnsi="Times New Roman" w:cs="Times New Roman"/>
                        <w:sz w:val="18"/>
                      </w:rPr>
                    </w:pPr>
                    <w:r>
                      <w:rPr>
                        <w:rStyle w:val="PageNumber"/>
                        <w:rFonts w:cs="Times New Roman" w:ascii="Times New Roman" w:hAnsi="Times New Roman"/>
                        <w:sz w:val="18"/>
                      </w:rPr>
                      <w:fldChar w:fldCharType="begin"/>
                    </w:r>
                    <w:r>
                      <w:rPr>
                        <w:rStyle w:val="PageNumber"/>
                        <w:sz w:val="18"/>
                        <w:rFonts w:cs="Times New Roman" w:ascii="Times New Roman" w:hAnsi="Times New Roman"/>
                      </w:rPr>
                      <w:instrText xml:space="preserve"> PAGE </w:instrText>
                    </w:r>
                    <w:r>
                      <w:rPr>
                        <w:rStyle w:val="PageNumber"/>
                        <w:sz w:val="18"/>
                        <w:rFonts w:cs="Times New Roman" w:ascii="Times New Roman" w:hAnsi="Times New Roman"/>
                      </w:rPr>
                      <w:fldChar w:fldCharType="separate"/>
                    </w:r>
                    <w:r>
                      <w:rPr>
                        <w:rStyle w:val="PageNumber"/>
                        <w:sz w:val="18"/>
                        <w:rFonts w:cs="Times New Roman" w:ascii="Times New Roman" w:hAnsi="Times New Roman"/>
                      </w:rPr>
                      <w:t>7</w:t>
                    </w:r>
                    <w:r>
                      <w:rPr>
                        <w:rStyle w:val="PageNumber"/>
                        <w:sz w:val="18"/>
                        <w:rFonts w:cs="Times New Roman" w:ascii="Times New Roman" w:hAnsi="Times New Roman"/>
                      </w:rPr>
                      <w:fldChar w:fldCharType="end"/>
                    </w:r>
                  </w:p>
                </w:txbxContent>
              </v:textbox>
              <w10:wrap type="square"/>
            </v:rect>
          </w:pict>
        </mc:Fallback>
      </mc:AlternateContent>
    </w:r>
  </w:p>
  <w:p>
    <w:pPr>
      <w:pStyle w:val="Footer"/>
      <w:rPr>
        <w:rFonts w:ascii="Times New Roman" w:hAnsi="Times New Roman" w:cs="Times New Roman"/>
        <w:b/>
        <w:sz w:val="18"/>
      </w:rPr>
    </w:pPr>
    <w:r>
      <w:rPr>
        <w:rFonts w:cs="Times New Roman" w:ascii="Times New Roman" w:hAnsi="Times New Roman"/>
        <w:b/>
        <w:sz w:val="18"/>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w:instrText>
    </w:r>
    <w:r>
      <w:rPr>
        <w:sz w:val="14"/>
        <w:rFonts w:cs="Arial" w:ascii="Arial" w:hAnsi="Arial"/>
      </w:rPr>
      <w:fldChar w:fldCharType="separate"/>
    </w:r>
    <w:r>
      <w:rPr>
        <w:sz w:val="14"/>
        <w:rFonts w:cs="Arial" w:ascii="Arial" w:hAnsi="Arial"/>
      </w:rPr>
      <w:t>EIM_GTC_9_7_01_.doc</w:t>
    </w:r>
    <w:r>
      <w:rPr>
        <w:sz w:val="14"/>
        <w:rFonts w:cs="Arial" w:ascii="Arial" w:hAnsi="Arial"/>
      </w:rPr>
      <w:fldChar w:fldCharType="end"/>
    </w:r>
    <w:r>
      <w:rPr>
        <w:rFonts w:cs="Arial" w:ascii="Arial" w:hAnsi="Arial"/>
        <w:sz w:val="14"/>
      </w:rPr>
      <w:fldChar w:fldCharType="begin"/>
    </w:r>
    <w:r>
      <w:rPr>
        <w:sz w:val="14"/>
        <w:rFonts w:cs="Arial" w:ascii="Arial" w:hAnsi="Arial"/>
      </w:rPr>
      <w:instrText xml:space="preserve"> DATE \@"M\/d\/yyyy\ H:mm\ AM/PM" </w:instrText>
    </w:r>
    <w:r>
      <w:rPr>
        <w:sz w:val="14"/>
        <w:rFonts w:cs="Arial" w:ascii="Arial" w:hAnsi="Arial"/>
      </w:rPr>
      <w:fldChar w:fldCharType="separate"/>
    </w:r>
    <w:r>
      <w:rPr>
        <w:sz w:val="14"/>
        <w:rFonts w:cs="Arial" w:ascii="Arial" w:hAnsi="Arial"/>
      </w:rPr>
      <w:t>9/28/2025 8:30 AM</w:t>
    </w:r>
    <w:r>
      <w:rPr>
        <w:sz w:val="14"/>
        <w:rFonts w:cs="Arial" w:ascii="Arial" w:hAnsi="Arial"/>
      </w:rPr>
      <w:fldChar w:fldCharType="end"/>
    </w:r>
  </w:p>
  <w:p>
    <w:pPr>
      <w:pStyle w:val="Footer"/>
      <w:jc w:val="end"/>
      <w:rPr>
        <w:rFonts w:ascii="Arial" w:hAnsi="Arial" w:cs="Arial"/>
        <w:sz w:val="17"/>
      </w:rPr>
    </w:pPr>
    <w:r>
      <w:rPr>
        <w:rFonts w:cs="Arial" w:ascii="Arial" w:hAnsi="Arial"/>
        <w:sz w:val="17"/>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bCs/>
        <w:sz w:val="18"/>
      </w:rPr>
    </w:pPr>
    <w:r>
      <w:rPr>
        <w:rFonts w:cs="Times New Roman" w:ascii="Times New Roman" w:hAnsi="Times New Roman"/>
        <w:b/>
        <w:bCs/>
        <w:sz w:val="18"/>
      </w:rPr>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243205" cy="146685"/>
              <wp:effectExtent l="0" t="0" r="0" b="0"/>
              <wp:wrapSquare wrapText="bothSides"/>
              <wp:docPr id="1" name="Frame2"/>
              <a:graphic xmlns:a="http://schemas.openxmlformats.org/drawingml/2006/main">
                <a:graphicData uri="http://schemas.microsoft.com/office/word/2010/wordprocessingShape">
                  <wps:wsp>
                    <wps:cNvSpPr txBox="1"/>
                    <wps:spPr>
                      <a:xfrm>
                        <a:off x="0" y="0"/>
                        <a:ext cx="243205" cy="146685"/>
                      </a:xfrm>
                      <a:prstGeom prst="rect"/>
                      <a:solidFill>
                        <a:srgbClr val="FFFFFF">
                          <a:alpha val="0"/>
                        </a:srgbClr>
                      </a:solidFill>
                    </wps:spPr>
                    <wps:txbx>
                      <w:txbxContent>
                        <w:p>
                          <w:pPr>
                            <w:pStyle w:val="Header"/>
                            <w:ind w:end="360"/>
                            <w:rPr>
                              <w:rStyle w:val="PageNumber"/>
                            </w:rPr>
                          </w:pPr>
                          <w:r>
                            <w:rPr/>
                          </w:r>
                        </w:p>
                      </w:txbxContent>
                    </wps:txbx>
                    <wps:bodyPr anchor="t" lIns="0" tIns="0" rIns="0" bIns="0">
                      <a:noAutofit/>
                    </wps:bodyPr>
                  </wps:wsp>
                </a:graphicData>
              </a:graphic>
            </wp:anchor>
          </w:drawing>
        </mc:Choice>
        <mc:Fallback>
          <w:pict>
            <v:rect fillcolor="#FFFFFF" style="position:absolute;rotation:-0;width:19.15pt;height:11.55pt;mso-wrap-distance-left:0pt;mso-wrap-distance-right:0pt;mso-wrap-distance-top:0pt;mso-wrap-distance-bottom:0pt;margin-top:0.05pt;mso-position-vertical-relative:text;margin-left:224.45pt;mso-position-horizontal:center;mso-position-horizontal-relative:margin">
              <v:fill opacity="0f"/>
              <v:textbox inset="0in,0in,0in,0in">
                <w:txbxContent>
                  <w:p>
                    <w:pPr>
                      <w:pStyle w:val="Header"/>
                      <w:ind w:end="360"/>
                      <w:rPr>
                        <w:rStyle w:val="PageNumber"/>
                      </w:rPr>
                    </w:pPr>
                    <w:r>
                      <w:rPr/>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720"/>
        </w:tabs>
        <w:ind w:start="720" w:hanging="720"/>
      </w:pPr>
      <w:rPr>
        <w:b/>
      </w:rPr>
    </w:lvl>
    <w:lvl w:ilvl="1">
      <w:start w:val="3"/>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3">
    <w:lvl w:ilvl="0">
      <w:start w:val="7"/>
      <w:numFmt w:val="decimal"/>
      <w:lvlText w:val="%1"/>
      <w:lvlJc w:val="start"/>
      <w:pPr>
        <w:tabs>
          <w:tab w:val="num" w:pos="360"/>
        </w:tabs>
        <w:ind w:start="360" w:hanging="360"/>
      </w:pPr>
      <w:rPr>
        <w:b/>
      </w:rPr>
    </w:lvl>
    <w:lvl w:ilvl="1">
      <w:start w:val="2"/>
      <w:numFmt w:val="decimal"/>
      <w:lvlText w:val="%1.%2"/>
      <w:lvlJc w:val="start"/>
      <w:pPr>
        <w:tabs>
          <w:tab w:val="num" w:pos="360"/>
        </w:tabs>
        <w:ind w:start="360" w:hanging="360"/>
      </w:pPr>
      <w:rPr>
        <w:b/>
      </w:rPr>
    </w:lvl>
    <w:lvl w:ilvl="2">
      <w:start w:val="1"/>
      <w:numFmt w:val="decimal"/>
      <w:lvlText w:val="%1.%2.%3"/>
      <w:lvlJc w:val="start"/>
      <w:pPr>
        <w:tabs>
          <w:tab w:val="num" w:pos="360"/>
        </w:tabs>
        <w:ind w:start="360" w:hanging="36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720"/>
        </w:tabs>
        <w:ind w:start="720" w:hanging="720"/>
      </w:pPr>
      <w:rPr>
        <w:b/>
      </w:rPr>
    </w:lvl>
    <w:lvl w:ilvl="5">
      <w:start w:val="1"/>
      <w:numFmt w:val="decimal"/>
      <w:lvlText w:val="%1.%2.%3.%4.%5.%6"/>
      <w:lvlJc w:val="start"/>
      <w:pPr>
        <w:tabs>
          <w:tab w:val="num" w:pos="720"/>
        </w:tabs>
        <w:ind w:start="720" w:hanging="720"/>
      </w:pPr>
      <w:rPr>
        <w:b/>
      </w:rPr>
    </w:lvl>
    <w:lvl w:ilvl="6">
      <w:start w:val="1"/>
      <w:numFmt w:val="decimal"/>
      <w:lvlText w:val="%1.%2.%3.%4.%5.%6.%7"/>
      <w:lvlJc w:val="start"/>
      <w:pPr>
        <w:tabs>
          <w:tab w:val="num" w:pos="1080"/>
        </w:tabs>
        <w:ind w:start="1080" w:hanging="1080"/>
      </w:pPr>
      <w:rPr>
        <w:b/>
      </w:rPr>
    </w:lvl>
    <w:lvl w:ilvl="7">
      <w:start w:val="1"/>
      <w:numFmt w:val="decimal"/>
      <w:lvlText w:val="%1.%2.%3.%4.%5.%6.%7.%8"/>
      <w:lvlJc w:val="start"/>
      <w:pPr>
        <w:tabs>
          <w:tab w:val="num" w:pos="1080"/>
        </w:tabs>
        <w:ind w:start="1080" w:hanging="1080"/>
      </w:pPr>
      <w:rPr>
        <w:b/>
      </w:rPr>
    </w:lvl>
    <w:lvl w:ilvl="8">
      <w:start w:val="1"/>
      <w:numFmt w:val="decimal"/>
      <w:lvlText w:val="%1.%2.%3.%4.%5.%6.%7.%8.%9"/>
      <w:lvlJc w:val="start"/>
      <w:pPr>
        <w:tabs>
          <w:tab w:val="num" w:pos="1080"/>
        </w:tabs>
        <w:ind w:start="1080" w:hanging="1080"/>
      </w:pPr>
      <w:rPr>
        <w:b/>
      </w:rPr>
    </w:lvl>
  </w:abstractNum>
  <w:abstractNum w:abstractNumId="4">
    <w:lvl w:ilvl="0">
      <w:start w:val="1"/>
      <w:numFmt w:val="decimal"/>
      <w:lvlText w:val="%1."/>
      <w:lvlJc w:val="start"/>
      <w:pPr>
        <w:tabs>
          <w:tab w:val="num" w:pos="360"/>
        </w:tabs>
        <w:ind w:start="360" w:hanging="360"/>
      </w:pPr>
    </w:lvl>
    <w:lvl w:ilvl="1">
      <w:start w:val="2"/>
      <w:isLgl/>
      <w:numFmt w:val="decimal"/>
      <w:lvlText w:val="%1.%2"/>
      <w:lvlJc w:val="start"/>
      <w:pPr>
        <w:tabs>
          <w:tab w:val="num" w:pos="360"/>
        </w:tabs>
        <w:ind w:start="360" w:hanging="360"/>
      </w:pPr>
      <w:rPr>
        <w:b/>
      </w:rPr>
    </w:lvl>
    <w:lvl w:ilvl="2">
      <w:start w:val="1"/>
      <w:isLgl/>
      <w:numFmt w:val="decimal"/>
      <w:lvlText w:val="%1.%2.%3"/>
      <w:lvlJc w:val="start"/>
      <w:pPr>
        <w:tabs>
          <w:tab w:val="num" w:pos="720"/>
        </w:tabs>
        <w:ind w:start="720" w:hanging="720"/>
      </w:pPr>
      <w:rPr>
        <w:b/>
      </w:rPr>
    </w:lvl>
    <w:lvl w:ilvl="3">
      <w:start w:val="1"/>
      <w:isLgl/>
      <w:numFmt w:val="decimal"/>
      <w:lvlText w:val="%1.%2.%3.%4"/>
      <w:lvlJc w:val="start"/>
      <w:pPr>
        <w:tabs>
          <w:tab w:val="num" w:pos="720"/>
        </w:tabs>
        <w:ind w:start="720" w:hanging="720"/>
      </w:pPr>
      <w:rPr>
        <w:b/>
      </w:rPr>
    </w:lvl>
    <w:lvl w:ilvl="4">
      <w:start w:val="1"/>
      <w:isLgl/>
      <w:numFmt w:val="decimal"/>
      <w:lvlText w:val="%1.%2.%3.%4.%5"/>
      <w:lvlJc w:val="start"/>
      <w:pPr>
        <w:tabs>
          <w:tab w:val="num" w:pos="720"/>
        </w:tabs>
        <w:ind w:start="720" w:hanging="720"/>
      </w:pPr>
      <w:rPr>
        <w:b/>
      </w:rPr>
    </w:lvl>
    <w:lvl w:ilvl="5">
      <w:start w:val="1"/>
      <w:isLgl/>
      <w:numFmt w:val="decimal"/>
      <w:lvlText w:val="%1.%2.%3.%4.%5.%6"/>
      <w:lvlJc w:val="start"/>
      <w:pPr>
        <w:tabs>
          <w:tab w:val="num" w:pos="1080"/>
        </w:tabs>
        <w:ind w:start="1080" w:hanging="1080"/>
      </w:pPr>
      <w:rPr>
        <w:b/>
      </w:rPr>
    </w:lvl>
    <w:lvl w:ilvl="6">
      <w:start w:val="1"/>
      <w:isLgl/>
      <w:numFmt w:val="decimal"/>
      <w:lvlText w:val="%1.%2.%3.%4.%5.%6.%7"/>
      <w:lvlJc w:val="start"/>
      <w:pPr>
        <w:tabs>
          <w:tab w:val="num" w:pos="1080"/>
        </w:tabs>
        <w:ind w:start="1080" w:hanging="1080"/>
      </w:pPr>
      <w:rPr>
        <w:b/>
      </w:rPr>
    </w:lvl>
    <w:lvl w:ilvl="7">
      <w:start w:val="1"/>
      <w:isLgl/>
      <w:numFmt w:val="decimal"/>
      <w:lvlText w:val="%1.%2.%3.%4.%5.%6.%7.%8"/>
      <w:lvlJc w:val="start"/>
      <w:pPr>
        <w:tabs>
          <w:tab w:val="num" w:pos="1080"/>
        </w:tabs>
        <w:ind w:start="1080" w:hanging="1080"/>
      </w:pPr>
      <w:rPr>
        <w:b/>
      </w:rPr>
    </w:lvl>
    <w:lvl w:ilvl="8">
      <w:start w:val="1"/>
      <w:isLgl/>
      <w:numFmt w:val="decimal"/>
      <w:lvlText w:val="%1.%2.%3.%4.%5.%6.%7.%8.%9"/>
      <w:lvlJc w:val="start"/>
      <w:pPr>
        <w:tabs>
          <w:tab w:val="num" w:pos="1440"/>
        </w:tabs>
        <w:ind w:start="1440" w:hanging="1440"/>
      </w:pPr>
      <w:rPr>
        <w:b/>
      </w:rPr>
    </w:lvl>
  </w:abstractNum>
  <w:abstractNum w:abstractNumId="5">
    <w:lvl w:ilvl="0">
      <w:start w:val="3"/>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080"/>
        </w:tabs>
        <w:ind w:start="1080" w:hanging="1080"/>
      </w:pPr>
      <w:rPr/>
    </w:lvl>
    <w:lvl w:ilvl="8">
      <w:start w:val="1"/>
      <w:numFmt w:val="decimal"/>
      <w:lvlText w:val="%1.%2.%3.%4.%5.%6.%7.%8.%9"/>
      <w:lvlJc w:val="start"/>
      <w:pPr>
        <w:tabs>
          <w:tab w:val="num" w:pos="1440"/>
        </w:tabs>
        <w:ind w:start="1440" w:hanging="1440"/>
      </w:pPr>
      <w:rPr/>
    </w:lvl>
  </w:abstractNum>
  <w:abstractNum w:abstractNumId="6">
    <w:lvl w:ilvl="0">
      <w:start w:val="1"/>
      <w:numFmt w:val="decimal"/>
      <w:lvlText w:val="%1."/>
      <w:lvlJc w:val="start"/>
      <w:pPr>
        <w:tabs>
          <w:tab w:val="num" w:pos="720"/>
        </w:tabs>
        <w:ind w:start="720" w:hanging="360"/>
      </w:pPr>
      <w:rPr/>
    </w:lvl>
  </w:abstractNum>
  <w:abstractNum w:abstractNumId="7">
    <w:lvl w:ilvl="0">
      <w:start w:val="4"/>
      <w:numFmt w:val="decimal"/>
      <w:lvlText w:val="%1"/>
      <w:lvlJc w:val="start"/>
      <w:pPr>
        <w:tabs>
          <w:tab w:val="num" w:pos="810"/>
        </w:tabs>
        <w:ind w:start="810" w:hanging="810"/>
      </w:pPr>
      <w:rPr>
        <w:b/>
      </w:rPr>
    </w:lvl>
    <w:lvl w:ilvl="1">
      <w:start w:val="4"/>
      <w:numFmt w:val="decimal"/>
      <w:lvlText w:val="%1.%2"/>
      <w:lvlJc w:val="start"/>
      <w:pPr>
        <w:tabs>
          <w:tab w:val="num" w:pos="810"/>
        </w:tabs>
        <w:ind w:start="810" w:hanging="810"/>
      </w:pPr>
      <w:rPr>
        <w:b/>
      </w:rPr>
    </w:lvl>
    <w:lvl w:ilvl="2">
      <w:start w:val="1"/>
      <w:numFmt w:val="decimal"/>
      <w:lvlText w:val="%1.%2.%3"/>
      <w:lvlJc w:val="start"/>
      <w:pPr>
        <w:tabs>
          <w:tab w:val="num" w:pos="810"/>
        </w:tabs>
        <w:ind w:start="810" w:hanging="810"/>
      </w:pPr>
      <w:rPr>
        <w:b/>
      </w:rPr>
    </w:lvl>
    <w:lvl w:ilvl="3">
      <w:start w:val="1"/>
      <w:numFmt w:val="decimal"/>
      <w:lvlText w:val="%1.%2.%3.%4"/>
      <w:lvlJc w:val="start"/>
      <w:pPr>
        <w:tabs>
          <w:tab w:val="num" w:pos="1080"/>
        </w:tabs>
        <w:ind w:start="1080" w:hanging="1080"/>
      </w:pPr>
      <w:rPr>
        <w:b/>
      </w:rPr>
    </w:lvl>
    <w:lvl w:ilvl="4">
      <w:start w:val="1"/>
      <w:numFmt w:val="decimal"/>
      <w:lvlText w:val="%1.%2.%3.%4.%5"/>
      <w:lvlJc w:val="start"/>
      <w:pPr>
        <w:tabs>
          <w:tab w:val="num" w:pos="1440"/>
        </w:tabs>
        <w:ind w:start="1440" w:hanging="1440"/>
      </w:pPr>
      <w:rPr>
        <w:b/>
      </w:rPr>
    </w:lvl>
    <w:lvl w:ilvl="5">
      <w:start w:val="1"/>
      <w:numFmt w:val="decimal"/>
      <w:lvlText w:val="%1.%2.%3.%4.%5.%6"/>
      <w:lvlJc w:val="start"/>
      <w:pPr>
        <w:tabs>
          <w:tab w:val="num" w:pos="1440"/>
        </w:tabs>
        <w:ind w:start="1440" w:hanging="1440"/>
      </w:pPr>
      <w:rPr>
        <w:b/>
      </w:rPr>
    </w:lvl>
    <w:lvl w:ilvl="6">
      <w:start w:val="1"/>
      <w:numFmt w:val="decimal"/>
      <w:lvlText w:val="%1.%2.%3.%4.%5.%6.%7"/>
      <w:lvlJc w:val="start"/>
      <w:pPr>
        <w:tabs>
          <w:tab w:val="num" w:pos="1800"/>
        </w:tabs>
        <w:ind w:start="1800" w:hanging="1800"/>
      </w:pPr>
      <w:rPr>
        <w:b/>
      </w:rPr>
    </w:lvl>
    <w:lvl w:ilvl="7">
      <w:start w:val="1"/>
      <w:numFmt w:val="decimal"/>
      <w:lvlText w:val="%1.%2.%3.%4.%5.%6.%7.%8"/>
      <w:lvlJc w:val="start"/>
      <w:pPr>
        <w:tabs>
          <w:tab w:val="num" w:pos="2160"/>
        </w:tabs>
        <w:ind w:start="2160" w:hanging="2160"/>
      </w:pPr>
      <w:rPr>
        <w:b/>
      </w:rPr>
    </w:lvl>
    <w:lvl w:ilvl="8">
      <w:start w:val="1"/>
      <w:numFmt w:val="decimal"/>
      <w:lvlText w:val="%1.%2.%3.%4.%5.%6.%7.%8.%9"/>
      <w:lvlJc w:val="start"/>
      <w:pPr>
        <w:tabs>
          <w:tab w:val="num" w:pos="2520"/>
        </w:tabs>
        <w:ind w:start="2520" w:hanging="2520"/>
      </w:pPr>
      <w:rPr>
        <w:b/>
      </w:rPr>
    </w:lvl>
  </w:abstractNum>
  <w:abstractNum w:abstractNumId="8">
    <w:lvl w:ilvl="0">
      <w:start w:val="1"/>
      <w:numFmt w:val="lowerLetter"/>
      <w:lvlText w:val="(%1)"/>
      <w:lvlJc w:val="start"/>
      <w:pPr>
        <w:tabs>
          <w:tab w:val="num" w:pos="360"/>
        </w:tabs>
        <w:ind w:start="360" w:hanging="36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9">
    <w:lvl w:ilvl="0">
      <w:start w:val="1"/>
      <w:numFmt w:val="decimal"/>
      <w:lvlText w:val="%1."/>
      <w:lvlJc w:val="start"/>
      <w:pPr>
        <w:tabs>
          <w:tab w:val="num" w:pos="720"/>
        </w:tabs>
        <w:ind w:start="720" w:hanging="360"/>
      </w:pPr>
    </w:lvl>
  </w:abstractNum>
  <w:abstractNum w:abstractNumId="10">
    <w:lvl w:ilvl="0">
      <w:start w:val="6"/>
      <w:numFmt w:val="decimal"/>
      <w:lvlText w:val="%1."/>
      <w:lvlJc w:val="start"/>
      <w:pPr>
        <w:tabs>
          <w:tab w:val="num" w:pos="720"/>
        </w:tabs>
        <w:ind w:start="720" w:hanging="360"/>
      </w:pPr>
      <w:r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ahoma" w:hAnsi="Tahoma" w:eastAsia="Times New Roman" w:cs="Tahoma"/>
      <w:color w:val="auto"/>
      <w:sz w:val="22"/>
      <w:szCs w:val="20"/>
      <w:lang w:val="en-US" w:bidi="ar-SA" w:eastAsia="zh-CN"/>
    </w:rPr>
  </w:style>
  <w:style w:type="paragraph" w:styleId="Heading1">
    <w:name w:val="heading 1"/>
    <w:basedOn w:val="Normal"/>
    <w:next w:val="Normal"/>
    <w:qFormat/>
    <w:pPr>
      <w:keepNext w:val="true"/>
      <w:widowControl w:val="fals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widowControl w:val="fals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outlineLvl w:val="2"/>
    </w:pPr>
    <w:rPr>
      <w:rFonts w:ascii="Arial" w:hAnsi="Arial" w:cs="Arial"/>
      <w:b/>
      <w:sz w:val="17"/>
    </w:rPr>
  </w:style>
  <w:style w:type="paragraph" w:styleId="Heading4">
    <w:name w:val="heading 4"/>
    <w:basedOn w:val="Normal"/>
    <w:next w:val="Normal"/>
    <w:qFormat/>
    <w:pPr>
      <w:keepNext w:val="true"/>
      <w:numPr>
        <w:ilvl w:val="3"/>
        <w:numId w:val="1"/>
      </w:numPr>
      <w:tabs>
        <w:tab w:val="clear" w:pos="720"/>
        <w:tab w:val="left" w:pos="-1080" w:leader="none"/>
        <w:tab w:val="left" w:pos="-720" w:leader="none"/>
        <w:tab w:val="left" w:pos="2250" w:leader="none"/>
        <w:tab w:val="left" w:pos="2790" w:leader="none"/>
        <w:tab w:val="left" w:pos="5760" w:leader="none"/>
        <w:tab w:val="left" w:pos="6480" w:leader="none"/>
        <w:tab w:val="left" w:pos="7200" w:leader="none"/>
        <w:tab w:val="left" w:pos="7920" w:leader="none"/>
        <w:tab w:val="left" w:pos="8640" w:leader="none"/>
        <w:tab w:val="left" w:pos="9360" w:leader="none"/>
      </w:tabs>
      <w:ind w:hanging="0" w:start="720" w:end="0"/>
      <w:jc w:val="both"/>
      <w:outlineLvl w:val="3"/>
    </w:pPr>
    <w:rPr>
      <w:rFonts w:ascii="Times New Roman" w:hAnsi="Times New Roman" w:cs="Times New Roman"/>
      <w:b/>
      <w:sz w:val="24"/>
    </w:rPr>
  </w:style>
  <w:style w:type="paragraph" w:styleId="Heading5">
    <w:name w:val="heading 5"/>
    <w:basedOn w:val="Normal"/>
    <w:next w:val="Normal"/>
    <w:qFormat/>
    <w:pPr>
      <w:keepNext w:val="true"/>
      <w:numPr>
        <w:ilvl w:val="4"/>
        <w:numId w:val="1"/>
      </w:numPr>
      <w:tabs>
        <w:tab w:val="clear" w:pos="720"/>
        <w:tab w:val="left" w:pos="-2646" w:leader="none"/>
        <w:tab w:val="left" w:pos="2646" w:leader="none"/>
      </w:tabs>
      <w:spacing w:before="0" w:after="60"/>
      <w:outlineLvl w:val="4"/>
    </w:pPr>
    <w:rPr>
      <w:rFonts w:ascii="Arial" w:hAnsi="Arial" w:cs="Arial"/>
      <w:b/>
      <w:sz w:val="17"/>
    </w:rPr>
  </w:style>
  <w:style w:type="paragraph" w:styleId="Heading6">
    <w:name w:val="heading 6"/>
    <w:basedOn w:val="Normal"/>
    <w:next w:val="Normal"/>
    <w:qFormat/>
    <w:pPr>
      <w:keepNext w:val="true"/>
      <w:numPr>
        <w:ilvl w:val="5"/>
        <w:numId w:val="1"/>
      </w:numPr>
      <w:outlineLvl w:val="5"/>
    </w:pPr>
    <w:rPr>
      <w:b/>
      <w:sz w:val="18"/>
    </w:rPr>
  </w:style>
  <w:style w:type="paragraph" w:styleId="Heading7">
    <w:name w:val="heading 7"/>
    <w:basedOn w:val="Normal"/>
    <w:next w:val="Normal"/>
    <w:qFormat/>
    <w:pPr>
      <w:keepNext w:val="true"/>
      <w:numPr>
        <w:ilvl w:val="6"/>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6"/>
    </w:pPr>
    <w:rPr>
      <w:rFonts w:ascii="Times New Roman" w:hAnsi="Times New Roman" w:cs="Times New Roman"/>
      <w:b/>
      <w:bCs/>
      <w:sz w:val="18"/>
    </w:rPr>
  </w:style>
  <w:style w:type="paragraph" w:styleId="Heading8">
    <w:name w:val="heading 8"/>
    <w:basedOn w:val="Normal"/>
    <w:next w:val="Normal"/>
    <w:qFormat/>
    <w:pPr>
      <w:keepNext w:val="true"/>
      <w:keepLines/>
      <w:numPr>
        <w:ilvl w:val="7"/>
        <w:numId w:val="1"/>
      </w:numPr>
      <w:spacing w:before="0" w:after="120"/>
      <w:ind w:hanging="0" w:start="360" w:end="0"/>
      <w:jc w:val="center"/>
      <w:outlineLvl w:val="7"/>
    </w:pPr>
    <w:rPr>
      <w:rFonts w:ascii="Arial Narrow" w:hAnsi="Arial Narrow" w:cs="Arial Narrow"/>
      <w:b/>
      <w:sz w:val="18"/>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3z1">
    <w:name w:val="WW8Num3z1"/>
    <w:qFormat/>
    <w:rPr>
      <w:b/>
    </w:rPr>
  </w:style>
  <w:style w:type="character" w:styleId="WW8Num4z0">
    <w:name w:val="WW8Num4z0"/>
    <w:qFormat/>
    <w:rPr>
      <w:b/>
    </w:rPr>
  </w:style>
  <w:style w:type="character" w:styleId="WW8Num5z0">
    <w:name w:val="WW8Num5z0"/>
    <w:qFormat/>
    <w:rPr>
      <w:b/>
    </w:rPr>
  </w:style>
  <w:style w:type="character" w:styleId="WW8Num6z0">
    <w:name w:val="WW8Num6z0"/>
    <w:qFormat/>
    <w:rPr>
      <w:b/>
    </w:rPr>
  </w:style>
  <w:style w:type="character" w:styleId="WW8Num7z0">
    <w:name w:val="WW8Num7z0"/>
    <w:qFormat/>
    <w:rPr>
      <w:b/>
    </w:rPr>
  </w:style>
  <w:style w:type="character" w:styleId="WW8Num8z0">
    <w:name w:val="WW8Num8z0"/>
    <w:qFormat/>
    <w:rPr/>
  </w:style>
  <w:style w:type="character" w:styleId="WW8Num9z0">
    <w:name w:val="WW8Num9z0"/>
    <w:qFormat/>
    <w:rPr/>
  </w:style>
  <w:style w:type="character" w:styleId="WW8Num10z0">
    <w:name w:val="WW8Num10z0"/>
    <w:qFormat/>
    <w:rPr>
      <w:b/>
    </w:rPr>
  </w:style>
  <w:style w:type="character" w:styleId="WW8Num11z0">
    <w:name w:val="WW8Num11z0"/>
    <w:qFormat/>
    <w:rPr>
      <w:b/>
    </w:rPr>
  </w:style>
  <w:style w:type="character" w:styleId="WW8Num12z0">
    <w:name w:val="WW8Num12z0"/>
    <w:qFormat/>
    <w:rPr/>
  </w:style>
  <w:style w:type="character" w:styleId="WW8Num13z0">
    <w:name w:val="WW8Num13z0"/>
    <w:qFormat/>
    <w:rPr/>
  </w:style>
  <w:style w:type="character" w:styleId="WW8Num14z0">
    <w:name w:val="WW8Num14z0"/>
    <w:qFormat/>
    <w:rPr>
      <w:b/>
    </w:rPr>
  </w:style>
  <w:style w:type="character" w:styleId="WW8Num15z0">
    <w:name w:val="WW8Num15z0"/>
    <w:qFormat/>
    <w:rPr>
      <w:b/>
    </w:rPr>
  </w:style>
  <w:style w:type="character" w:styleId="WW8Num17z0">
    <w:name w:val="WW8Num17z0"/>
    <w:qFormat/>
    <w:rPr/>
  </w:style>
  <w:style w:type="character" w:styleId="WW8Num18z0">
    <w:name w:val="WW8Num18z0"/>
    <w:qFormat/>
    <w:rPr/>
  </w:style>
  <w:style w:type="character" w:styleId="WW8Num20z0">
    <w:name w:val="WW8Num20z0"/>
    <w:qFormat/>
    <w:rPr>
      <w:b/>
    </w:rPr>
  </w:style>
  <w:style w:type="character" w:styleId="WW8Num22z0">
    <w:name w:val="WW8Num22z0"/>
    <w:qFormat/>
    <w:rPr>
      <w:b/>
    </w:rPr>
  </w:style>
  <w:style w:type="character" w:styleId="WW8Num23z0">
    <w:name w:val="WW8Num23z0"/>
    <w:qFormat/>
    <w:rPr>
      <w:b/>
    </w:rPr>
  </w:style>
  <w:style w:type="character" w:styleId="WW8Num24z0">
    <w:name w:val="WW8Num24z0"/>
    <w:qFormat/>
    <w:rPr>
      <w:b/>
    </w:rPr>
  </w:style>
  <w:style w:type="character" w:styleId="WW8Num25z0">
    <w:name w:val="WW8Num25z0"/>
    <w:qFormat/>
    <w:rPr/>
  </w:style>
  <w:style w:type="character" w:styleId="WW8Num26z0">
    <w:name w:val="WW8Num26z0"/>
    <w:qFormat/>
    <w:rPr>
      <w:b/>
    </w:rPr>
  </w:style>
  <w:style w:type="character" w:styleId="WW8Num27z0">
    <w:name w:val="WW8Num27z0"/>
    <w:qFormat/>
    <w:rPr/>
  </w:style>
  <w:style w:type="character" w:styleId="WW8Num29z0">
    <w:name w:val="WW8Num29z0"/>
    <w:qFormat/>
    <w:rPr/>
  </w:style>
  <w:style w:type="character" w:styleId="WW8Num30z0">
    <w:name w:val="WW8Num30z0"/>
    <w:qFormat/>
    <w:rPr/>
  </w:style>
  <w:style w:type="character" w:styleId="WW8Num30z1">
    <w:name w:val="WW8Num30z1"/>
    <w:qFormat/>
    <w:rPr>
      <w:b/>
    </w:rPr>
  </w:style>
  <w:style w:type="character" w:styleId="WW8Num31z0">
    <w:name w:val="WW8Num31z0"/>
    <w:qFormat/>
    <w:rPr/>
  </w:style>
  <w:style w:type="character" w:styleId="WW8Num32z0">
    <w:name w:val="WW8Num32z0"/>
    <w:qFormat/>
    <w:rPr/>
  </w:style>
  <w:style w:type="character" w:styleId="WW8Num33z0">
    <w:name w:val="WW8Num33z0"/>
    <w:qFormat/>
    <w:rPr>
      <w:b/>
    </w:rPr>
  </w:style>
  <w:style w:type="character" w:styleId="WW8Num35z0">
    <w:name w:val="WW8Num35z0"/>
    <w:qFormat/>
    <w:rPr>
      <w:b/>
    </w:rPr>
  </w:style>
  <w:style w:type="character" w:styleId="WW8Num36z0">
    <w:name w:val="WW8Num36z0"/>
    <w:qFormat/>
    <w:rPr>
      <w:b/>
    </w:rPr>
  </w:style>
  <w:style w:type="character" w:styleId="WW8Num37z0">
    <w:name w:val="WW8Num37z0"/>
    <w:qFormat/>
    <w:rPr/>
  </w:style>
  <w:style w:type="character" w:styleId="WW8Num38z1">
    <w:name w:val="WW8Num38z1"/>
    <w:qFormat/>
    <w:rPr>
      <w:b/>
    </w:rPr>
  </w:style>
  <w:style w:type="character" w:styleId="WW8Num39z0">
    <w:name w:val="WW8Num39z0"/>
    <w:qFormat/>
    <w:rPr>
      <w:b/>
    </w:rPr>
  </w:style>
  <w:style w:type="character" w:styleId="WW8Num40z0">
    <w:name w:val="WW8Num40z0"/>
    <w:qFormat/>
    <w:rPr/>
  </w:style>
  <w:style w:type="character" w:styleId="WW8Num41z0">
    <w:name w:val="WW8Num41z0"/>
    <w:qFormat/>
    <w:rPr>
      <w:b/>
    </w:rPr>
  </w:style>
  <w:style w:type="character" w:styleId="WW8Num42z0">
    <w:name w:val="WW8Num42z0"/>
    <w:qFormat/>
    <w:rPr/>
  </w:style>
  <w:style w:type="character" w:styleId="WW8Num43z0">
    <w:name w:val="WW8Num43z0"/>
    <w:qFormat/>
    <w:rPr>
      <w:b/>
    </w:rPr>
  </w:style>
  <w:style w:type="character" w:styleId="WW8Num44z0">
    <w:name w:val="WW8Num44z0"/>
    <w:qFormat/>
    <w:rPr/>
  </w:style>
  <w:style w:type="character" w:styleId="WW8Num45z0">
    <w:name w:val="WW8Num45z0"/>
    <w:qFormat/>
    <w:rPr>
      <w:b/>
    </w:rPr>
  </w:style>
  <w:style w:type="character" w:styleId="WW8Num46z0">
    <w:name w:val="WW8Num46z0"/>
    <w:qFormat/>
    <w:rPr/>
  </w:style>
  <w:style w:type="character" w:styleId="WW8Num47z0">
    <w:name w:val="WW8Num47z0"/>
    <w:qFormat/>
    <w:rPr/>
  </w:style>
  <w:style w:type="character" w:styleId="WW8Num49z0">
    <w:name w:val="WW8Num49z0"/>
    <w:qFormat/>
    <w:rPr>
      <w:b/>
    </w:rPr>
  </w:style>
  <w:style w:type="character" w:styleId="WW8Num50z0">
    <w:name w:val="WW8Num50z0"/>
    <w:qFormat/>
    <w:rPr>
      <w:b/>
    </w:rPr>
  </w:style>
  <w:style w:type="character" w:styleId="WW8Num51z0">
    <w:name w:val="WW8Num51z0"/>
    <w:qFormat/>
    <w:rPr>
      <w:b/>
    </w:rPr>
  </w:style>
  <w:style w:type="character" w:styleId="WW8Num52z0">
    <w:name w:val="WW8Num52z0"/>
    <w:qFormat/>
    <w:rPr/>
  </w:style>
  <w:style w:type="character" w:styleId="WW8Num53z0">
    <w:name w:val="WW8Num53z0"/>
    <w:qFormat/>
    <w:rPr/>
  </w:style>
  <w:style w:type="character" w:styleId="WW8Num54z0">
    <w:name w:val="WW8Num54z0"/>
    <w:qFormat/>
    <w:rPr>
      <w:b/>
    </w:rPr>
  </w:style>
  <w:style w:type="character" w:styleId="WW8Num55z0">
    <w:name w:val="WW8Num55z0"/>
    <w:qFormat/>
    <w:rPr/>
  </w:style>
  <w:style w:type="character" w:styleId="WW8Num56z0">
    <w:name w:val="WW8Num56z0"/>
    <w:qFormat/>
    <w:rPr>
      <w:b/>
    </w:rPr>
  </w:style>
  <w:style w:type="character" w:styleId="WW8Num57z0">
    <w:name w:val="WW8Num57z0"/>
    <w:qFormat/>
    <w:rPr/>
  </w:style>
  <w:style w:type="character" w:styleId="WW8Num58z0">
    <w:name w:val="WW8Num58z0"/>
    <w:qFormat/>
    <w:rPr>
      <w:b/>
    </w:rPr>
  </w:style>
  <w:style w:type="character" w:styleId="WW8Num60z0">
    <w:name w:val="WW8Num60z0"/>
    <w:qFormat/>
    <w:rPr/>
  </w:style>
  <w:style w:type="character" w:styleId="WW8Num61z0">
    <w:name w:val="WW8Num61z0"/>
    <w:qFormat/>
    <w:rPr>
      <w:b/>
    </w:rPr>
  </w:style>
  <w:style w:type="character" w:styleId="WW8Num62z0">
    <w:name w:val="WW8Num62z0"/>
    <w:qFormat/>
    <w:rPr>
      <w:b/>
    </w:rPr>
  </w:style>
  <w:style w:type="character" w:styleId="WW8Num63z0">
    <w:name w:val="WW8Num63z0"/>
    <w:qFormat/>
    <w:rPr>
      <w:b/>
    </w:rPr>
  </w:style>
  <w:style w:type="character" w:styleId="WW8Num64z0">
    <w:name w:val="WW8Num64z0"/>
    <w:qFormat/>
    <w:rPr/>
  </w:style>
  <w:style w:type="character" w:styleId="WW8Num65z0">
    <w:name w:val="WW8Num65z0"/>
    <w:qFormat/>
    <w:rPr>
      <w:b/>
    </w:rPr>
  </w:style>
  <w:style w:type="character" w:styleId="WW8Num66z0">
    <w:name w:val="WW8Num66z0"/>
    <w:qFormat/>
    <w:rPr>
      <w:b/>
      <w:color w:val="000000"/>
    </w:rPr>
  </w:style>
  <w:style w:type="character" w:styleId="WW8Num67z0">
    <w:name w:val="WW8Num67z0"/>
    <w:qFormat/>
    <w:rPr>
      <w:b/>
    </w:rPr>
  </w:style>
  <w:style w:type="character" w:styleId="WW8Num68z0">
    <w:name w:val="WW8Num68z0"/>
    <w:qFormat/>
    <w:rPr>
      <w:b/>
    </w:rPr>
  </w:style>
  <w:style w:type="character" w:styleId="WW8Num69z0">
    <w:name w:val="WW8Num69z0"/>
    <w:qFormat/>
    <w:rPr/>
  </w:style>
  <w:style w:type="character" w:styleId="WW8Num70z0">
    <w:name w:val="WW8Num70z0"/>
    <w:qFormat/>
    <w:rPr/>
  </w:style>
  <w:style w:type="character" w:styleId="WW8Num70z1">
    <w:name w:val="WW8Num70z1"/>
    <w:qFormat/>
    <w:rPr>
      <w:b/>
    </w:rPr>
  </w:style>
  <w:style w:type="character" w:styleId="WW8Num71z0">
    <w:name w:val="WW8Num71z0"/>
    <w:qFormat/>
    <w:rPr>
      <w:b/>
      <w:color w:val="000000"/>
    </w:rPr>
  </w:style>
  <w:style w:type="character" w:styleId="WW8Num72z0">
    <w:name w:val="WW8Num72z0"/>
    <w:qFormat/>
    <w:rPr>
      <w:b/>
    </w:rPr>
  </w:style>
  <w:style w:type="character" w:styleId="WW8Num73z0">
    <w:name w:val="WW8Num73z0"/>
    <w:qFormat/>
    <w:rPr>
      <w:b/>
    </w:rPr>
  </w:style>
  <w:style w:type="character" w:styleId="WW8Num74z0">
    <w:name w:val="WW8Num74z0"/>
    <w:qFormat/>
    <w:rPr>
      <w:b/>
    </w:rPr>
  </w:style>
  <w:style w:type="character" w:styleId="WW8Num75z0">
    <w:name w:val="WW8Num75z0"/>
    <w:qFormat/>
    <w:rPr>
      <w:b/>
    </w:rPr>
  </w:style>
  <w:style w:type="character" w:styleId="WW8Num76z0">
    <w:name w:val="WW8Num76z0"/>
    <w:qFormat/>
    <w:rPr/>
  </w:style>
  <w:style w:type="character" w:styleId="WW8Num77z0">
    <w:name w:val="WW8Num77z0"/>
    <w:qFormat/>
    <w:rPr>
      <w:b/>
    </w:rPr>
  </w:style>
  <w:style w:type="character" w:styleId="WW8Num78z0">
    <w:name w:val="WW8Num78z0"/>
    <w:qFormat/>
    <w:rPr/>
  </w:style>
  <w:style w:type="character" w:styleId="WW8Num78z1">
    <w:name w:val="WW8Num78z1"/>
    <w:qFormat/>
    <w:rPr>
      <w:b/>
    </w:rPr>
  </w:style>
  <w:style w:type="character" w:styleId="WW8Num79z0">
    <w:name w:val="WW8Num79z0"/>
    <w:qFormat/>
    <w:rPr/>
  </w:style>
  <w:style w:type="character" w:styleId="WW8Num80z0">
    <w:name w:val="WW8Num80z0"/>
    <w:qFormat/>
    <w:rPr/>
  </w:style>
  <w:style w:type="character" w:styleId="WW8Num81z0">
    <w:name w:val="WW8Num81z0"/>
    <w:qFormat/>
    <w:rPr>
      <w:b/>
    </w:rPr>
  </w:style>
  <w:style w:type="character" w:styleId="WW8Num82z0">
    <w:name w:val="WW8Num82z0"/>
    <w:qFormat/>
    <w:rPr>
      <w:b/>
    </w:rPr>
  </w:style>
  <w:style w:type="character" w:styleId="WW8Num84z0">
    <w:name w:val="WW8Num84z0"/>
    <w:qFormat/>
    <w:rPr/>
  </w:style>
  <w:style w:type="character" w:styleId="WW8Num85z0">
    <w:name w:val="WW8Num85z0"/>
    <w:qFormat/>
    <w:rPr>
      <w:b/>
    </w:rPr>
  </w:style>
  <w:style w:type="character" w:styleId="WW8Num86z1">
    <w:name w:val="WW8Num86z1"/>
    <w:qFormat/>
    <w:rPr>
      <w:b/>
    </w:rPr>
  </w:style>
  <w:style w:type="character" w:styleId="WW8Num87z0">
    <w:name w:val="WW8Num87z0"/>
    <w:qFormat/>
    <w:rPr>
      <w:b/>
    </w:rPr>
  </w:style>
  <w:style w:type="character" w:styleId="WW8Num88z0">
    <w:name w:val="WW8Num88z0"/>
    <w:qFormat/>
    <w:rPr>
      <w:b/>
    </w:rPr>
  </w:style>
  <w:style w:type="character" w:styleId="WW8Num89z0">
    <w:name w:val="WW8Num89z0"/>
    <w:qFormat/>
    <w:rPr/>
  </w:style>
  <w:style w:type="character" w:styleId="WW8Num90z0">
    <w:name w:val="WW8Num90z0"/>
    <w:qFormat/>
    <w:rPr>
      <w:b/>
    </w:rPr>
  </w:style>
  <w:style w:type="character" w:styleId="DefaultParagraphFont">
    <w:name w:val="Default Paragraph Font"/>
    <w:qFormat/>
    <w:rPr/>
  </w:style>
  <w:style w:type="character" w:styleId="Justified">
    <w:name w:val="Justified"/>
    <w:qFormat/>
    <w:rPr/>
  </w:style>
  <w:style w:type="character" w:styleId="PageNumber">
    <w:name w:val="page number"/>
    <w:basedOn w:val="DefaultParagraphFont"/>
    <w:rPr>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rFonts w:ascii="Times New Roman" w:hAnsi="Times New Roman" w:cs="Times New Roman"/>
      <w:sz w:val="16"/>
      <w:vertAlign w:val="superscript"/>
    </w:rPr>
  </w:style>
  <w:style w:type="paragraph" w:styleId="Heading">
    <w:name w:val="Heading"/>
    <w:basedOn w:val="Normal"/>
    <w:next w:val="BodyText"/>
    <w:qFormat/>
    <w:pPr>
      <w:spacing w:before="0" w:after="240"/>
      <w:jc w:val="center"/>
    </w:pPr>
    <w:rPr>
      <w:rFonts w:ascii="Arial" w:hAnsi="Arial" w:cs="Arial"/>
      <w:b/>
      <w:sz w:val="20"/>
    </w:rPr>
  </w:style>
  <w:style w:type="paragraph" w:styleId="BodyText">
    <w:name w:val="Body Text"/>
    <w:basedOn w:val="Normal"/>
    <w:pPr/>
    <w:rPr>
      <w:rFonts w:ascii="Arial" w:hAnsi="Arial" w:cs="Arial"/>
      <w:sz w:val="17"/>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17"/>
    </w:rPr>
  </w:style>
  <w:style w:type="paragraph" w:styleId="MasterHeading">
    <w:name w:val="Master Heading"/>
    <w:basedOn w:val="BodyText"/>
    <w:qFormat/>
    <w:pPr>
      <w:numPr>
        <w:ilvl w:val="0"/>
        <w:numId w:val="11"/>
      </w:numPr>
      <w:tabs>
        <w:tab w:val="clear" w:pos="720"/>
        <w:tab w:val="left" w:pos="360" w:leader="none"/>
      </w:tabs>
      <w:spacing w:before="60" w:after="60"/>
      <w:jc w:val="center"/>
    </w:pPr>
    <w:rPr>
      <w:b/>
    </w:rPr>
  </w:style>
  <w:style w:type="paragraph" w:styleId="BodyText3">
    <w:name w:val="Body Text 3"/>
    <w:basedOn w:val="Normal"/>
    <w:qFormat/>
    <w:pPr>
      <w:tabs>
        <w:tab w:val="clear" w:pos="720"/>
        <w:tab w:val="left" w:pos="360" w:leader="none"/>
      </w:tabs>
      <w:jc w:val="both"/>
    </w:pPr>
    <w:rPr>
      <w:rFonts w:ascii="Arial" w:hAnsi="Arial" w:cs="Arial"/>
      <w:b/>
      <w:sz w:val="17"/>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keepNext w:val="true"/>
      <w:tabs>
        <w:tab w:val="clear" w:pos="720"/>
        <w:tab w:val="left" w:pos="-720" w:leader="none"/>
      </w:tabs>
      <w:suppressAutoHyphens w:val="true"/>
      <w:ind w:hanging="0" w:start="90" w:end="0"/>
      <w:jc w:val="both"/>
    </w:pPr>
    <w:rPr>
      <w:rFonts w:ascii="Arial" w:hAnsi="Arial" w:cs="Arial"/>
      <w:sz w:val="17"/>
    </w:rPr>
  </w:style>
  <w:style w:type="paragraph" w:styleId="BodyTextIndent2">
    <w:name w:val="Body Text Indent 2"/>
    <w:basedOn w:val="Normal"/>
    <w:qFormat/>
    <w:pPr>
      <w:tabs>
        <w:tab w:val="clear" w:pos="720"/>
        <w:tab w:val="left" w:pos="432" w:leader="none"/>
        <w:tab w:val="left" w:pos="5724" w:leader="none"/>
        <w:tab w:val="left" w:pos="6192" w:leader="none"/>
        <w:tab w:val="left" w:pos="6912" w:leader="none"/>
        <w:tab w:val="left" w:pos="7632" w:leader="none"/>
      </w:tabs>
      <w:ind w:hanging="0" w:start="450" w:end="0"/>
      <w:jc w:val="both"/>
    </w:pPr>
    <w:rPr>
      <w:rFonts w:ascii="Times New Roman" w:hAnsi="Times New Roman" w:cs="Times New Roman"/>
      <w:sz w:val="17"/>
    </w:rPr>
  </w:style>
  <w:style w:type="paragraph" w:styleId="TOC8">
    <w:name w:val="toc 8"/>
    <w:basedOn w:val="Normal"/>
    <w:next w:val="Normal"/>
    <w:pPr>
      <w:tabs>
        <w:tab w:val="clear" w:pos="720"/>
        <w:tab w:val="right" w:pos="9360" w:leader="dot"/>
      </w:tabs>
      <w:ind w:hanging="0" w:start="1560" w:end="0"/>
    </w:pPr>
    <w:rPr>
      <w:rFonts w:ascii="Times New Roman" w:hAnsi="Times New Roman" w:cs="Times New Roman"/>
      <w:sz w:val="18"/>
      <w:szCs w:val="24"/>
    </w:rPr>
  </w:style>
  <w:style w:type="paragraph" w:styleId="BodyTextIndent3">
    <w:name w:val="Body Text Indent 3"/>
    <w:basedOn w:val="Normal"/>
    <w:qFormat/>
    <w:pPr>
      <w:spacing w:before="240" w:after="0"/>
      <w:ind w:firstLine="180" w:start="0" w:end="0"/>
      <w:jc w:val="both"/>
    </w:pPr>
    <w:rPr>
      <w:rFonts w:ascii="Arial Narrow" w:hAnsi="Arial Narrow" w:cs="Arial Narrow"/>
      <w:sz w:val="18"/>
    </w:rPr>
  </w:style>
  <w:style w:type="paragraph" w:styleId="FootnoteText">
    <w:name w:val="footnote text"/>
    <w:basedOn w:val="Normal"/>
    <w:pPr/>
    <w:rPr>
      <w:rFonts w:ascii="Times New Roman" w:hAnsi="Times New Roman" w:cs="Times New Roman"/>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2001-09-07T10:38:00Z</dcterms:created>
  <dc:creator>smcmurr</dc:creator>
  <dc:description/>
  <dc:language>en-CA</dc:language>
  <cp:lastModifiedBy>svanhoo</cp:lastModifiedBy>
  <cp:lastPrinted>2001-09-07T09:34:00Z</cp:lastPrinted>
  <dcterms:modified xsi:type="dcterms:W3CDTF">2001-09-07T12:04:00Z</dcterms:modified>
  <cp:revision>14</cp:revision>
  <dc:subject/>
  <dc:title>MASTER AGREEMENT</dc:title>
</cp:coreProperties>
</file>