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JOHN SHAFER</w:t>
      </w:r>
    </w:p>
    <w:p>
      <w:pPr>
        <w:pStyle w:val="Normal"/>
        <w:jc w:val="center"/>
        <w:rPr>
          <w:b/>
          <w:sz w:val="24"/>
        </w:rPr>
      </w:pPr>
      <w:r>
        <w:rPr>
          <w:b/>
          <w:sz w:val="24"/>
        </w:rPr>
        <w:t>ETS ENVIRONMENTAL, HEALTH AND SAFETY</w:t>
      </w:r>
    </w:p>
    <w:p>
      <w:pPr>
        <w:pStyle w:val="Normal"/>
        <w:jc w:val="center"/>
        <w:rPr>
          <w:b/>
          <w:sz w:val="24"/>
        </w:rPr>
      </w:pPr>
      <w:r>
        <w:rPr>
          <w:b/>
          <w:sz w:val="24"/>
        </w:rPr>
        <w:t>GOALS AND OBJECTIVES</w:t>
      </w:r>
    </w:p>
    <w:p>
      <w:pPr>
        <w:pStyle w:val="Normal"/>
        <w:pBdr>
          <w:bottom w:val="single" w:sz="4" w:space="1" w:color="000000"/>
        </w:pBdr>
        <w:jc w:val="center"/>
        <w:rPr>
          <w:b/>
          <w:sz w:val="24"/>
        </w:rPr>
      </w:pPr>
      <w:r>
        <w:rPr>
          <w:b/>
          <w:sz w:val="24"/>
        </w:rPr>
        <w:t>2001</w:t>
      </w:r>
    </w:p>
    <w:p>
      <w:pPr>
        <w:pStyle w:val="Normal"/>
        <w:jc w:val="center"/>
        <w:rPr>
          <w:b/>
          <w:sz w:val="24"/>
        </w:rPr>
      </w:pPr>
      <w:r>
        <w:rPr>
          <w:b/>
          <w:sz w:val="24"/>
        </w:rPr>
      </w:r>
    </w:p>
    <w:p>
      <w:pPr>
        <w:pStyle w:val="Normal"/>
        <w:numPr>
          <w:ilvl w:val="0"/>
          <w:numId w:val="5"/>
        </w:numPr>
        <w:rPr>
          <w:b/>
          <w:color w:val="0000FF"/>
          <w:sz w:val="24"/>
          <w:u w:val="single"/>
        </w:rPr>
      </w:pPr>
      <w:r>
        <w:rPr>
          <w:b/>
          <w:color w:val="0000FF"/>
          <w:sz w:val="24"/>
          <w:u w:val="single"/>
        </w:rPr>
        <w:t>SAFETY AND HEALTH DEPARTMENT</w:t>
      </w:r>
    </w:p>
    <w:p>
      <w:pPr>
        <w:pStyle w:val="Normal"/>
        <w:rPr>
          <w:b/>
          <w:color w:val="0000FF"/>
          <w:sz w:val="24"/>
          <w:u w:val="single"/>
        </w:rPr>
      </w:pPr>
      <w:r>
        <w:rPr>
          <w:b/>
          <w:color w:val="0000FF"/>
          <w:sz w:val="24"/>
          <w:u w:val="single"/>
        </w:rPr>
      </w:r>
    </w:p>
    <w:p>
      <w:pPr>
        <w:pStyle w:val="Normal"/>
        <w:numPr>
          <w:ilvl w:val="0"/>
          <w:numId w:val="1"/>
        </w:numPr>
        <w:tabs>
          <w:tab w:val="left" w:pos="720" w:leader="none"/>
        </w:tabs>
        <w:ind w:hanging="360" w:start="720" w:end="0"/>
        <w:rPr>
          <w:sz w:val="24"/>
        </w:rPr>
      </w:pPr>
      <w:r>
        <w:rPr>
          <w:sz w:val="24"/>
        </w:rPr>
        <w:t xml:space="preserve">Complete field safety organizational realignment that began in 2000, which includes coverage for EOTT.  Align safety team coverage in a manner to ensure required customer services are met in the most efficient and economical manner possible.  Complete by March 31, 2001, and provide on-going evaluation to ensure continued effectiveness.  </w:t>
      </w:r>
    </w:p>
    <w:p>
      <w:pPr>
        <w:pStyle w:val="Normal"/>
        <w:numPr>
          <w:ilvl w:val="0"/>
          <w:numId w:val="1"/>
        </w:numPr>
        <w:tabs>
          <w:tab w:val="left" w:pos="720" w:leader="none"/>
        </w:tabs>
        <w:spacing w:before="240" w:after="0"/>
        <w:ind w:hanging="360" w:start="720" w:end="0"/>
        <w:rPr>
          <w:sz w:val="24"/>
        </w:rPr>
      </w:pPr>
      <w:r>
        <w:rPr>
          <w:sz w:val="24"/>
        </w:rPr>
        <w:t xml:space="preserve">Ensure completion of approved elements of the ETS Three-year Safety Plan.  This represents nearly 30 separate action items and objectives to support the ETS safety objective of achieving lost time and vehicle accident incident rates that rank in the industry top quartile.  </w:t>
      </w:r>
    </w:p>
    <w:p>
      <w:pPr>
        <w:pStyle w:val="Normal"/>
        <w:numPr>
          <w:ilvl w:val="0"/>
          <w:numId w:val="1"/>
        </w:numPr>
        <w:tabs>
          <w:tab w:val="left" w:pos="720" w:leader="none"/>
        </w:tabs>
        <w:spacing w:before="240" w:after="0"/>
        <w:ind w:hanging="360" w:start="720" w:end="0"/>
        <w:rPr>
          <w:sz w:val="24"/>
        </w:rPr>
      </w:pPr>
      <w:r>
        <w:rPr>
          <w:sz w:val="24"/>
        </w:rPr>
        <w:t xml:space="preserve">Establish an on-going evaluation of employee potential exposure to various chemical and physical agents in the work place.  This will be accomplished through the hiring of a certified industrial hygienist during the first quarter, and obtaining and providing the necessary management support for completion of a written program by December 31, 2001.  </w:t>
      </w:r>
    </w:p>
    <w:p>
      <w:pPr>
        <w:pStyle w:val="Normal"/>
        <w:numPr>
          <w:ilvl w:val="0"/>
          <w:numId w:val="1"/>
        </w:numPr>
        <w:tabs>
          <w:tab w:val="left" w:pos="720" w:leader="none"/>
        </w:tabs>
        <w:spacing w:before="240" w:after="0"/>
        <w:ind w:hanging="360" w:start="720" w:end="0"/>
        <w:rPr>
          <w:sz w:val="24"/>
        </w:rPr>
      </w:pPr>
      <w:r>
        <w:rPr>
          <w:sz w:val="24"/>
        </w:rPr>
        <w:t xml:space="preserve">Develop and implement a safety program for Houston office ETS employees.  Implementation of the program will begin in April 2001.  </w:t>
      </w:r>
    </w:p>
    <w:p>
      <w:pPr>
        <w:pStyle w:val="Normal"/>
        <w:numPr>
          <w:ilvl w:val="0"/>
          <w:numId w:val="1"/>
        </w:numPr>
        <w:tabs>
          <w:tab w:val="left" w:pos="720" w:leader="none"/>
        </w:tabs>
        <w:spacing w:before="240" w:after="0"/>
        <w:ind w:hanging="360" w:start="720" w:end="0"/>
        <w:rPr>
          <w:sz w:val="24"/>
        </w:rPr>
      </w:pPr>
      <w:r>
        <w:rPr>
          <w:sz w:val="24"/>
        </w:rPr>
        <w:t xml:space="preserve">Continue development and implementation of a compliance program to meet the requirements of OSHA's Ergonomic Standard.  All elements must be in place no later than November 1, 2001.  </w:t>
      </w:r>
    </w:p>
    <w:p>
      <w:pPr>
        <w:pStyle w:val="Normal"/>
        <w:numPr>
          <w:ilvl w:val="0"/>
          <w:numId w:val="1"/>
        </w:numPr>
        <w:tabs>
          <w:tab w:val="left" w:pos="720" w:leader="none"/>
        </w:tabs>
        <w:spacing w:before="240" w:after="0"/>
        <w:ind w:hanging="360" w:start="720" w:end="0"/>
        <w:rPr>
          <w:sz w:val="24"/>
        </w:rPr>
      </w:pPr>
      <w:r>
        <w:rPr>
          <w:sz w:val="24"/>
        </w:rPr>
        <w:t xml:space="preserve">Implement enhancements to the Crisis Support Team program and process.  Conduct a training and orientation session for the team no later than May 1, 2001.  </w:t>
      </w:r>
    </w:p>
    <w:p>
      <w:pPr>
        <w:pStyle w:val="Normal"/>
        <w:rPr>
          <w:sz w:val="24"/>
        </w:rPr>
      </w:pPr>
      <w:r>
        <w:rPr>
          <w:sz w:val="24"/>
        </w:rPr>
      </w:r>
    </w:p>
    <w:p>
      <w:pPr>
        <w:pStyle w:val="Normal"/>
        <w:numPr>
          <w:ilvl w:val="0"/>
          <w:numId w:val="3"/>
        </w:numPr>
        <w:rPr>
          <w:b/>
          <w:color w:val="0000FF"/>
          <w:sz w:val="24"/>
          <w:u w:val="single"/>
        </w:rPr>
      </w:pPr>
      <w:r>
        <w:rPr>
          <w:b/>
          <w:color w:val="0000FF"/>
          <w:sz w:val="24"/>
          <w:u w:val="single"/>
        </w:rPr>
        <w:t>PIPELINE SAFETY</w:t>
      </w:r>
    </w:p>
    <w:p>
      <w:pPr>
        <w:pStyle w:val="Normal"/>
        <w:rPr>
          <w:b/>
          <w:color w:val="0000FF"/>
          <w:sz w:val="24"/>
          <w:u w:val="single"/>
        </w:rPr>
      </w:pPr>
      <w:r>
        <w:rPr>
          <w:b/>
          <w:color w:val="0000FF"/>
          <w:sz w:val="24"/>
          <w:u w:val="single"/>
        </w:rPr>
      </w:r>
    </w:p>
    <w:p>
      <w:pPr>
        <w:pStyle w:val="Normal"/>
        <w:numPr>
          <w:ilvl w:val="0"/>
          <w:numId w:val="9"/>
        </w:numPr>
        <w:tabs>
          <w:tab w:val="left" w:pos="720" w:leader="none"/>
        </w:tabs>
        <w:ind w:hanging="360" w:start="720" w:end="0"/>
        <w:rPr>
          <w:sz w:val="24"/>
        </w:rPr>
      </w:pPr>
      <w:r>
        <w:rPr>
          <w:sz w:val="24"/>
        </w:rPr>
        <w:t xml:space="preserve">Complete development of the Operator Qualification plan as required by the regulation.  Have plan completed by March 31, ready to begin implementation by April 27 regulatory deadline.  </w:t>
      </w:r>
    </w:p>
    <w:p>
      <w:pPr>
        <w:pStyle w:val="Normal"/>
        <w:numPr>
          <w:ilvl w:val="0"/>
          <w:numId w:val="9"/>
        </w:numPr>
        <w:tabs>
          <w:tab w:val="left" w:pos="720" w:leader="none"/>
        </w:tabs>
        <w:spacing w:before="240" w:after="0"/>
        <w:ind w:hanging="360" w:start="720" w:end="0"/>
        <w:rPr>
          <w:sz w:val="24"/>
        </w:rPr>
      </w:pPr>
      <w:r>
        <w:rPr>
          <w:sz w:val="24"/>
        </w:rPr>
        <w:t xml:space="preserve">Initiate implementation of the Operator Qualification plan on a schedule to meet the October 2002 deadline for full compliance.  </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numPr>
          <w:ilvl w:val="0"/>
          <w:numId w:val="9"/>
        </w:numPr>
        <w:tabs>
          <w:tab w:val="left" w:pos="720" w:leader="none"/>
        </w:tabs>
        <w:spacing w:before="240" w:after="0"/>
        <w:ind w:hanging="360" w:start="720" w:end="0"/>
        <w:rPr>
          <w:sz w:val="24"/>
        </w:rPr>
      </w:pPr>
      <w:r>
        <w:rPr>
          <w:sz w:val="24"/>
        </w:rPr>
        <w:t xml:space="preserve">Through participation and leadership of the Pipeline Safety Committee in INGAA, and in conjunction with our Legislative Affairs staff, provide guidance for proposed Pipeline Safety Legislation that supports the INGAA Pipeline Safety position.  Also, participate in the pipeline safety efforts of the AOPL.  </w:t>
      </w:r>
    </w:p>
    <w:p>
      <w:pPr>
        <w:pStyle w:val="Normal"/>
        <w:numPr>
          <w:ilvl w:val="0"/>
          <w:numId w:val="9"/>
        </w:numPr>
        <w:tabs>
          <w:tab w:val="left" w:pos="720" w:leader="none"/>
        </w:tabs>
        <w:spacing w:before="240" w:after="0"/>
        <w:ind w:hanging="360" w:start="720" w:end="0"/>
        <w:rPr>
          <w:sz w:val="24"/>
        </w:rPr>
      </w:pPr>
      <w:r>
        <w:rPr>
          <w:sz w:val="24"/>
        </w:rPr>
        <w:t xml:space="preserve">Develop and implement a class location program to replace the defunct Aeroview program.  Make it consistent with new definitions for identifying HCA's.  </w:t>
      </w:r>
    </w:p>
    <w:p>
      <w:pPr>
        <w:pStyle w:val="Normal"/>
        <w:numPr>
          <w:ilvl w:val="0"/>
          <w:numId w:val="7"/>
        </w:numPr>
        <w:tabs>
          <w:tab w:val="left" w:pos="720" w:leader="none"/>
        </w:tabs>
        <w:spacing w:before="240" w:after="0"/>
        <w:ind w:hanging="360" w:start="720" w:end="0"/>
        <w:rPr>
          <w:sz w:val="24"/>
        </w:rPr>
      </w:pPr>
      <w:r>
        <w:rPr>
          <w:sz w:val="24"/>
        </w:rPr>
        <w:t xml:space="preserve">Develop plan for meeting the requirements of the Liquid Integrity Rule, including continuing assessment of all pipeline facilities to develop priorities for integrity projects.  </w:t>
      </w:r>
    </w:p>
    <w:p>
      <w:pPr>
        <w:pStyle w:val="Normal"/>
        <w:rPr>
          <w:sz w:val="24"/>
        </w:rPr>
      </w:pPr>
      <w:r>
        <w:rPr>
          <w:sz w:val="24"/>
        </w:rPr>
      </w:r>
    </w:p>
    <w:p>
      <w:pPr>
        <w:pStyle w:val="Normal"/>
        <w:numPr>
          <w:ilvl w:val="0"/>
          <w:numId w:val="2"/>
        </w:numPr>
        <w:rPr>
          <w:color w:val="0000FF"/>
          <w:sz w:val="24"/>
        </w:rPr>
      </w:pPr>
      <w:r>
        <w:rPr>
          <w:b/>
          <w:color w:val="0000FF"/>
          <w:sz w:val="24"/>
          <w:u w:val="single"/>
        </w:rPr>
        <w:t>ENVIRONMENTAL AFFAIRS</w:t>
      </w:r>
    </w:p>
    <w:p>
      <w:pPr>
        <w:pStyle w:val="Normal"/>
        <w:rPr>
          <w:color w:val="0000FF"/>
          <w:sz w:val="24"/>
        </w:rPr>
      </w:pPr>
      <w:r>
        <w:rPr>
          <w:color w:val="0000FF"/>
          <w:sz w:val="24"/>
        </w:rPr>
      </w:r>
    </w:p>
    <w:p>
      <w:pPr>
        <w:pStyle w:val="Normal"/>
        <w:numPr>
          <w:ilvl w:val="0"/>
          <w:numId w:val="6"/>
        </w:numPr>
        <w:tabs>
          <w:tab w:val="left" w:pos="720" w:leader="none"/>
        </w:tabs>
        <w:ind w:hanging="360" w:start="720" w:end="0"/>
        <w:rPr>
          <w:sz w:val="24"/>
        </w:rPr>
      </w:pPr>
      <w:r>
        <w:rPr>
          <w:sz w:val="24"/>
        </w:rPr>
        <w:t xml:space="preserve">Continue the development of a compliance program that reduces the number of NOV's, NOC's, and penalties assessed by agencies, compared to those received in year 2000.  </w:t>
      </w:r>
    </w:p>
    <w:p>
      <w:pPr>
        <w:pStyle w:val="Normal"/>
        <w:numPr>
          <w:ilvl w:val="0"/>
          <w:numId w:val="6"/>
        </w:numPr>
        <w:tabs>
          <w:tab w:val="left" w:pos="720" w:leader="none"/>
        </w:tabs>
        <w:spacing w:before="240" w:after="0"/>
        <w:ind w:hanging="360" w:start="720" w:end="0"/>
        <w:rPr>
          <w:sz w:val="24"/>
        </w:rPr>
      </w:pPr>
      <w:r>
        <w:rPr>
          <w:sz w:val="24"/>
        </w:rPr>
        <w:t xml:space="preserve">Provide information for the Enron Environmental report.  </w:t>
      </w:r>
    </w:p>
    <w:p>
      <w:pPr>
        <w:pStyle w:val="Normal"/>
        <w:numPr>
          <w:ilvl w:val="0"/>
          <w:numId w:val="6"/>
        </w:numPr>
        <w:tabs>
          <w:tab w:val="left" w:pos="720" w:leader="none"/>
        </w:tabs>
        <w:spacing w:before="240" w:after="0"/>
        <w:ind w:hanging="360" w:start="720" w:end="0"/>
        <w:rPr>
          <w:sz w:val="24"/>
        </w:rPr>
      </w:pPr>
      <w:r>
        <w:rPr>
          <w:sz w:val="24"/>
        </w:rPr>
        <w:t xml:space="preserve">Initiate implementation of existing environmental Best Practices ("Air Binder", Mock Regulatory Inspection and Regulatory Agency Inspection Checklist.)  </w:t>
      </w:r>
    </w:p>
    <w:p>
      <w:pPr>
        <w:pStyle w:val="Normal"/>
        <w:numPr>
          <w:ilvl w:val="0"/>
          <w:numId w:val="6"/>
        </w:numPr>
        <w:tabs>
          <w:tab w:val="left" w:pos="720" w:leader="none"/>
        </w:tabs>
        <w:spacing w:before="240" w:after="0"/>
        <w:ind w:hanging="360" w:start="720" w:end="0"/>
        <w:rPr>
          <w:sz w:val="24"/>
        </w:rPr>
      </w:pPr>
      <w:r>
        <w:rPr>
          <w:sz w:val="24"/>
        </w:rPr>
        <w:t xml:space="preserve">Further develop the Air Compliance Program and Committee activities.  </w:t>
      </w:r>
    </w:p>
    <w:p>
      <w:pPr>
        <w:pStyle w:val="Normal"/>
        <w:numPr>
          <w:ilvl w:val="0"/>
          <w:numId w:val="6"/>
        </w:numPr>
        <w:tabs>
          <w:tab w:val="left" w:pos="720" w:leader="none"/>
        </w:tabs>
        <w:spacing w:before="240" w:after="0"/>
        <w:ind w:hanging="360" w:start="720" w:end="0"/>
        <w:rPr>
          <w:sz w:val="24"/>
        </w:rPr>
      </w:pPr>
      <w:r>
        <w:rPr>
          <w:sz w:val="24"/>
        </w:rPr>
        <w:t xml:space="preserve">Continue the leadership position in the EPA Natural Gas Star Program.  </w:t>
      </w:r>
    </w:p>
    <w:p>
      <w:pPr>
        <w:pStyle w:val="Normal"/>
        <w:numPr>
          <w:ilvl w:val="0"/>
          <w:numId w:val="6"/>
        </w:numPr>
        <w:tabs>
          <w:tab w:val="left" w:pos="720" w:leader="none"/>
        </w:tabs>
        <w:spacing w:before="240" w:after="0"/>
        <w:ind w:hanging="360" w:start="720" w:end="0"/>
        <w:rPr>
          <w:sz w:val="24"/>
        </w:rPr>
      </w:pPr>
      <w:r>
        <w:rPr>
          <w:sz w:val="24"/>
        </w:rPr>
        <w:t xml:space="preserve">Conduct "tailgate" environmental training to field teams similar to safety training and focus on air permit compliance.  </w:t>
      </w:r>
    </w:p>
    <w:p>
      <w:pPr>
        <w:pStyle w:val="Normal"/>
        <w:numPr>
          <w:ilvl w:val="0"/>
          <w:numId w:val="6"/>
        </w:numPr>
        <w:tabs>
          <w:tab w:val="left" w:pos="720" w:leader="none"/>
        </w:tabs>
        <w:spacing w:before="240" w:after="0"/>
        <w:ind w:hanging="360" w:start="720" w:end="0"/>
        <w:rPr>
          <w:sz w:val="24"/>
        </w:rPr>
      </w:pPr>
      <w:r>
        <w:rPr>
          <w:sz w:val="24"/>
        </w:rPr>
        <w:t xml:space="preserve">Determine status of Facility Response Plans relating to EPSC operations as soon as possible, but no later than February 2001.  </w:t>
      </w:r>
    </w:p>
    <w:p>
      <w:pPr>
        <w:pStyle w:val="Normal"/>
        <w:numPr>
          <w:ilvl w:val="0"/>
          <w:numId w:val="6"/>
        </w:numPr>
        <w:tabs>
          <w:tab w:val="left" w:pos="720" w:leader="none"/>
        </w:tabs>
        <w:spacing w:before="240" w:after="0"/>
        <w:ind w:hanging="360" w:start="720" w:end="0"/>
        <w:rPr>
          <w:sz w:val="24"/>
        </w:rPr>
      </w:pPr>
      <w:r>
        <w:rPr>
          <w:sz w:val="24"/>
        </w:rPr>
        <w:t xml:space="preserve">Develop environmental calendars for EPSC assets to include permit and regulatory compliance dates.  </w:t>
      </w:r>
    </w:p>
    <w:p>
      <w:pPr>
        <w:pStyle w:val="Normal"/>
        <w:numPr>
          <w:ilvl w:val="0"/>
          <w:numId w:val="6"/>
        </w:numPr>
        <w:tabs>
          <w:tab w:val="left" w:pos="720" w:leader="none"/>
        </w:tabs>
        <w:spacing w:before="240" w:after="0"/>
        <w:ind w:hanging="360" w:start="720" w:end="0"/>
        <w:rPr>
          <w:sz w:val="24"/>
        </w:rPr>
      </w:pPr>
      <w:r>
        <w:rPr>
          <w:sz w:val="24"/>
        </w:rPr>
        <w:t xml:space="preserve">Continue effective development and implementation of EOTT environmental compliance program.  </w:t>
      </w:r>
    </w:p>
    <w:p>
      <w:pPr>
        <w:pStyle w:val="Normal"/>
        <w:numPr>
          <w:ilvl w:val="0"/>
          <w:numId w:val="6"/>
        </w:numPr>
        <w:tabs>
          <w:tab w:val="left" w:pos="720" w:leader="none"/>
        </w:tabs>
        <w:spacing w:before="240" w:after="0"/>
        <w:ind w:hanging="360" w:start="720" w:end="0"/>
        <w:rPr>
          <w:sz w:val="24"/>
        </w:rPr>
      </w:pPr>
      <w:r>
        <w:rPr>
          <w:sz w:val="24"/>
        </w:rPr>
        <w:t xml:space="preserve">Implement action items identified in the EHS management standard gap analysis.  </w:t>
      </w:r>
    </w:p>
    <w:p>
      <w:pPr>
        <w:pStyle w:val="Normal"/>
        <w:numPr>
          <w:ilvl w:val="0"/>
          <w:numId w:val="6"/>
        </w:numPr>
        <w:tabs>
          <w:tab w:val="left" w:pos="720" w:leader="none"/>
        </w:tabs>
        <w:spacing w:before="240" w:after="0"/>
        <w:ind w:hanging="360" w:start="720" w:end="0"/>
        <w:rPr>
          <w:sz w:val="24"/>
        </w:rPr>
      </w:pPr>
      <w:r>
        <w:rPr>
          <w:sz w:val="24"/>
        </w:rPr>
        <w:t xml:space="preserve">Direct the implementation of EPSC remediation strategy.  </w:t>
      </w:r>
    </w:p>
    <w:p>
      <w:pPr>
        <w:pStyle w:val="Normal"/>
        <w:rPr>
          <w:sz w:val="24"/>
        </w:rPr>
      </w:pPr>
      <w:r>
        <w:rPr>
          <w:sz w:val="24"/>
        </w:rPr>
      </w:r>
    </w:p>
    <w:p>
      <w:pPr>
        <w:pStyle w:val="Normal"/>
        <w:numPr>
          <w:ilvl w:val="0"/>
          <w:numId w:val="4"/>
        </w:numPr>
        <w:rPr>
          <w:b/>
          <w:color w:val="0000FF"/>
          <w:sz w:val="24"/>
          <w:u w:val="single"/>
        </w:rPr>
      </w:pPr>
      <w:r>
        <w:rPr>
          <w:b/>
          <w:color w:val="0000FF"/>
          <w:sz w:val="24"/>
          <w:u w:val="single"/>
        </w:rPr>
        <w:t>GENERAL</w:t>
      </w:r>
    </w:p>
    <w:p>
      <w:pPr>
        <w:pStyle w:val="Normal"/>
        <w:rPr>
          <w:b/>
          <w:color w:val="0000FF"/>
          <w:sz w:val="24"/>
          <w:u w:val="single"/>
        </w:rPr>
      </w:pPr>
      <w:r>
        <w:rPr>
          <w:b/>
          <w:color w:val="0000FF"/>
          <w:sz w:val="24"/>
          <w:u w:val="single"/>
        </w:rPr>
      </w:r>
    </w:p>
    <w:p>
      <w:pPr>
        <w:pStyle w:val="Normal"/>
        <w:numPr>
          <w:ilvl w:val="0"/>
          <w:numId w:val="8"/>
        </w:numPr>
        <w:tabs>
          <w:tab w:val="left" w:pos="720" w:leader="none"/>
        </w:tabs>
        <w:spacing w:before="240" w:after="0"/>
        <w:ind w:hanging="360" w:start="720" w:end="0"/>
        <w:rPr>
          <w:sz w:val="24"/>
        </w:rPr>
      </w:pPr>
      <w:r>
        <w:rPr>
          <w:sz w:val="24"/>
        </w:rPr>
        <w:t xml:space="preserve">Continue to strategically develop and implement a proactive program with environmental groups and organizations (e.g., The Nature Conservancy, Ducks Unlimited, Bat Conservation International, Trout Unlimited, Wild Turkey Federation, Governor's Council for Sustainable Florida.)  </w:t>
      </w:r>
    </w:p>
    <w:p>
      <w:pPr>
        <w:pStyle w:val="Normal"/>
        <w:numPr>
          <w:ilvl w:val="0"/>
          <w:numId w:val="8"/>
        </w:numPr>
        <w:tabs>
          <w:tab w:val="left" w:pos="720" w:leader="none"/>
        </w:tabs>
        <w:ind w:hanging="360" w:start="720" w:end="0"/>
        <w:rPr>
          <w:sz w:val="24"/>
        </w:rPr>
      </w:pPr>
      <w:r>
        <w:rPr>
          <w:sz w:val="24"/>
        </w:rPr>
        <w:t xml:space="preserve">Support the domestic Operations Assessment Program and the International Audit Program by supplying the necessary resources to meet their goals.  </w:t>
      </w:r>
    </w:p>
    <w:p>
      <w:pPr>
        <w:pStyle w:val="Normal"/>
        <w:numPr>
          <w:ilvl w:val="0"/>
          <w:numId w:val="8"/>
        </w:numPr>
        <w:tabs>
          <w:tab w:val="left" w:pos="720" w:leader="none"/>
        </w:tabs>
        <w:spacing w:before="240" w:after="0"/>
        <w:ind w:hanging="360" w:start="720" w:end="0"/>
        <w:rPr>
          <w:sz w:val="24"/>
        </w:rPr>
      </w:pPr>
      <w:r>
        <w:rPr>
          <w:sz w:val="24"/>
        </w:rPr>
        <w:t xml:space="preserve">Maintain required regulatory agency interfaces, including timely responses to notices and rulemakings and preparation for and facilitation of audits.  </w:t>
      </w:r>
    </w:p>
    <w:p>
      <w:pPr>
        <w:pStyle w:val="Normal"/>
        <w:numPr>
          <w:ilvl w:val="0"/>
          <w:numId w:val="8"/>
        </w:numPr>
        <w:tabs>
          <w:tab w:val="left" w:pos="720" w:leader="none"/>
        </w:tabs>
        <w:spacing w:before="240" w:after="0"/>
        <w:ind w:hanging="360" w:start="720" w:end="0"/>
        <w:rPr>
          <w:sz w:val="24"/>
        </w:rPr>
      </w:pPr>
      <w:r>
        <w:rPr>
          <w:sz w:val="24"/>
        </w:rPr>
        <w:t>Maintain leadership role in industry associations, such as the Common Ground Alliance, a One-Call Board or committee, or an industry research of trade association such as PRCI, GTI, INGAA, API, AOPL, SGA, MEA, etc.</w:t>
      </w:r>
    </w:p>
    <w:p>
      <w:pPr>
        <w:pStyle w:val="Normal"/>
        <w:numPr>
          <w:ilvl w:val="0"/>
          <w:numId w:val="8"/>
        </w:numPr>
        <w:tabs>
          <w:tab w:val="left" w:pos="720" w:leader="none"/>
        </w:tabs>
        <w:spacing w:before="240" w:after="0"/>
        <w:ind w:hanging="360" w:start="720" w:end="0"/>
        <w:rPr>
          <w:sz w:val="24"/>
        </w:rPr>
      </w:pPr>
      <w:r>
        <w:rPr>
          <w:sz w:val="24"/>
        </w:rPr>
        <w:t xml:space="preserve">Strategically develop a proactive program in environmental education for youth on ETS Operation System (e.g., Trees for Tomorrow.)  </w:t>
      </w:r>
    </w:p>
    <w:p>
      <w:pPr>
        <w:pStyle w:val="Normal"/>
        <w:numPr>
          <w:ilvl w:val="0"/>
          <w:numId w:val="8"/>
        </w:numPr>
        <w:tabs>
          <w:tab w:val="left" w:pos="720" w:leader="none"/>
        </w:tabs>
        <w:spacing w:before="240" w:after="0"/>
        <w:ind w:hanging="360" w:start="720" w:end="0"/>
        <w:rPr>
          <w:sz w:val="24"/>
        </w:rPr>
      </w:pPr>
      <w:r>
        <w:rPr>
          <w:sz w:val="24"/>
        </w:rPr>
        <w:t xml:space="preserve">Continue to strategically develop public Outreach and Community Alliance Committee efforts across ETS Operation System.  </w:t>
      </w:r>
    </w:p>
    <w:p>
      <w:pPr>
        <w:pStyle w:val="Normal"/>
        <w:numPr>
          <w:ilvl w:val="0"/>
          <w:numId w:val="8"/>
        </w:numPr>
        <w:tabs>
          <w:tab w:val="left" w:pos="720" w:leader="none"/>
        </w:tabs>
        <w:spacing w:before="240" w:after="0"/>
        <w:ind w:hanging="360" w:start="720" w:end="0"/>
        <w:rPr>
          <w:sz w:val="24"/>
        </w:rPr>
      </w:pPr>
      <w:r>
        <w:rPr>
          <w:sz w:val="24"/>
        </w:rPr>
        <w:t xml:space="preserve">Maintain EH&amp;S budgets within approved plans.  </w:t>
      </w:r>
    </w:p>
    <w:p>
      <w:pPr>
        <w:pStyle w:val="Normal"/>
        <w:numPr>
          <w:ilvl w:val="0"/>
          <w:numId w:val="8"/>
        </w:numPr>
        <w:tabs>
          <w:tab w:val="left" w:pos="720" w:leader="none"/>
        </w:tabs>
        <w:spacing w:before="240" w:after="0"/>
        <w:ind w:hanging="360" w:start="720" w:end="0"/>
        <w:rPr>
          <w:sz w:val="24"/>
        </w:rPr>
      </w:pPr>
      <w:r>
        <w:rPr>
          <w:sz w:val="24"/>
        </w:rPr>
        <w:t xml:space="preserve">Continue to develop and mentor staff to assume management growth and skills.  Increase bench strength in EH&amp;S organization.  </w:t>
      </w:r>
    </w:p>
    <w:p>
      <w:pPr>
        <w:pStyle w:val="Normal"/>
        <w:numPr>
          <w:ilvl w:val="0"/>
          <w:numId w:val="8"/>
        </w:numPr>
        <w:tabs>
          <w:tab w:val="left" w:pos="720" w:leader="none"/>
        </w:tabs>
        <w:spacing w:before="240" w:after="0"/>
        <w:ind w:hanging="360" w:start="720" w:end="0"/>
        <w:rPr>
          <w:sz w:val="24"/>
        </w:rPr>
      </w:pPr>
      <w:r>
        <w:rPr>
          <w:sz w:val="24"/>
        </w:rPr>
        <w:t>Continue to support the efforts of Enron’s Environmental, Health and Safety Council.</w:t>
      </w:r>
    </w:p>
    <w:p>
      <w:pPr>
        <w:pStyle w:val="Normal"/>
        <w:rPr>
          <w:sz w:val="24"/>
        </w:rPr>
      </w:pPr>
      <w:r>
        <w:rPr>
          <w:sz w:val="24"/>
        </w:rPr>
      </w:r>
    </w:p>
    <w:p>
      <w:pPr>
        <w:pStyle w:val="Normal"/>
        <w:jc w:val="center"/>
        <w:rPr>
          <w:rFonts w:ascii="Monotype Sorts" w:hAnsi="Monotype Sorts" w:eastAsia="Monotype Sorts" w:cs="Monotype Sorts"/>
          <w:sz w:val="24"/>
        </w:rPr>
      </w:pPr>
      <w:r>
        <w:rPr>
          <w:rFonts w:eastAsia="Monotype Sorts" w:cs="Monotype Sorts" w:ascii="Monotype Sorts" w:hAnsi="Monotype Sorts"/>
          <w:sz w:val="24"/>
        </w:rPr>
        <w:sym w:font="Monotype Sorts" w:char="f06e"/>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Monotype Sort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JOHN SHAFER</w:t>
    </w:r>
  </w:p>
  <w:p>
    <w:pPr>
      <w:pStyle w:val="Header"/>
      <w:rPr>
        <w:b/>
      </w:rPr>
    </w:pPr>
    <w:r>
      <w:rPr>
        <w:b/>
      </w:rPr>
      <w:t>ETS ENVIRONMENTAL, HEALTH AND SAFETY</w:t>
    </w:r>
  </w:p>
  <w:p>
    <w:pPr>
      <w:pStyle w:val="Header"/>
      <w:pBdr>
        <w:bottom w:val="single" w:sz="4" w:space="1" w:color="000000"/>
      </w:pBdr>
      <w:rPr>
        <w:b/>
      </w:rPr>
    </w:pPr>
    <w:r>
      <w:rPr>
        <w:b/>
      </w:rPr>
      <w:t>GOALS AND OBJECTIVES - 2001</w:t>
    </w:r>
  </w:p>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2001-01-09T18:33:00Z</dcterms:created>
  <dc:creator>kwillar</dc:creator>
  <dc:description/>
  <dc:language>en-CA</dc:language>
  <cp:lastModifiedBy>jshafer</cp:lastModifiedBy>
  <cp:lastPrinted>2001-01-09T14:15:00Z</cp:lastPrinted>
  <dcterms:modified xsi:type="dcterms:W3CDTF">2001-01-09T18:33:00Z</dcterms:modified>
  <cp:revision>2</cp:revision>
  <dc:subject/>
  <dc:title>JOHN SHAFER</dc:title>
</cp:coreProperties>
</file>