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sz w:val="24"/>
        </w:rPr>
        <w:tab/>
      </w:r>
      <w:r>
        <w:rPr>
          <w:b/>
          <w:bCs/>
          <w:sz w:val="24"/>
        </w:rPr>
        <w:t>BEFORE THE PUBLIC UTILITIES COMMISSION</w:t>
      </w:r>
    </w:p>
    <w:p>
      <w:pPr>
        <w:pStyle w:val="Normal"/>
        <w:tabs>
          <w:tab w:val="clear" w:pos="720"/>
          <w:tab w:val="center" w:pos="4680" w:leader="none"/>
        </w:tabs>
        <w:rPr>
          <w:sz w:val="24"/>
        </w:rPr>
      </w:pPr>
      <w:r>
        <w:rPr>
          <w:b/>
          <w:bCs/>
          <w:sz w:val="24"/>
        </w:rPr>
        <w:tab/>
        <w:t>OF THE STATE OF CALIFORNIA</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5760" w:start="5760" w:end="0"/>
        <w:rPr/>
      </w:pPr>
      <w:r>
        <w:rPr>
          <w:sz w:val="24"/>
        </w:rPr>
        <w:t>Investigation on the Commission</w:t>
      </w:r>
      <w:r>
        <w:rPr>
          <w:rFonts w:cs="WP TypographicSymbols" w:ascii="WP TypographicSymbols" w:hAnsi="WP TypographicSymbols"/>
          <w:sz w:val="24"/>
        </w:rPr>
        <w:sym w:font="WP TypographicSymbols" w:char="f03d"/>
      </w:r>
      <w:r>
        <w:rPr>
          <w:sz w:val="24"/>
        </w:rPr>
        <w:t>s Own Motion to</w:t>
        <w:tab/>
        <w:tab/>
        <w:t>)</w:t>
      </w:r>
    </w:p>
    <w:p>
      <w:pPr>
        <w:pStyle w:val="Normal"/>
        <w:tabs>
          <w:tab w:val="clear" w:pos="720"/>
          <w:tab w:val="left" w:pos="-1440" w:leader="none"/>
        </w:tabs>
        <w:ind w:hanging="5760" w:start="5760" w:end="0"/>
        <w:rPr>
          <w:sz w:val="24"/>
        </w:rPr>
      </w:pPr>
      <w:r>
        <w:rPr>
          <w:sz w:val="24"/>
        </w:rPr>
        <w:t>Consider the Costs and Benefits of Various Promising</w:t>
        <w:tab/>
        <w:t>)</w:t>
      </w:r>
    </w:p>
    <w:p>
      <w:pPr>
        <w:pStyle w:val="Normal"/>
        <w:tabs>
          <w:tab w:val="clear" w:pos="720"/>
          <w:tab w:val="left" w:pos="-1440" w:leader="none"/>
        </w:tabs>
        <w:ind w:hanging="6480" w:start="6480" w:end="0"/>
        <w:rPr>
          <w:sz w:val="24"/>
        </w:rPr>
      </w:pPr>
      <w:r>
        <w:rPr>
          <w:sz w:val="24"/>
        </w:rPr>
        <w:t>Revisions to the Regulatory and Market Structure</w:t>
        <w:tab/>
        <w:tab/>
        <w:t>)</w:t>
        <w:tab/>
        <w:t>I. 99-07-003</w:t>
      </w:r>
    </w:p>
    <w:p>
      <w:pPr>
        <w:pStyle w:val="Normal"/>
        <w:tabs>
          <w:tab w:val="clear" w:pos="720"/>
          <w:tab w:val="left" w:pos="-1440" w:leader="none"/>
        </w:tabs>
        <w:ind w:hanging="5760" w:start="5760" w:end="0"/>
        <w:rPr/>
      </w:pPr>
      <w:r>
        <w:rPr>
          <w:sz w:val="24"/>
        </w:rPr>
        <w:t>Governing California</w:t>
      </w:r>
      <w:r>
        <w:rPr>
          <w:rFonts w:cs="WP TypographicSymbols" w:ascii="WP TypographicSymbols" w:hAnsi="WP TypographicSymbols"/>
          <w:sz w:val="24"/>
        </w:rPr>
        <w:sym w:font="WP TypographicSymbols" w:char="f03d"/>
      </w:r>
      <w:r>
        <w:rPr>
          <w:sz w:val="24"/>
        </w:rPr>
        <w:t>s Natural Gas Industry and to</w:t>
        <w:tab/>
        <w:tab/>
        <w:t>)</w:t>
      </w:r>
    </w:p>
    <w:p>
      <w:pPr>
        <w:pStyle w:val="Normal"/>
        <w:tabs>
          <w:tab w:val="clear" w:pos="720"/>
          <w:tab w:val="left" w:pos="-1440" w:leader="none"/>
        </w:tabs>
        <w:ind w:hanging="5760" w:start="5760" w:end="0"/>
        <w:rPr>
          <w:sz w:val="24"/>
        </w:rPr>
      </w:pPr>
      <w:r>
        <w:rPr>
          <w:sz w:val="24"/>
        </w:rPr>
        <w:t xml:space="preserve">Report to the California Legislature on the </w:t>
        <w:tab/>
        <w:tab/>
        <w:tab/>
        <w:t>)</w:t>
      </w:r>
    </w:p>
    <w:p>
      <w:pPr>
        <w:pStyle w:val="Normal"/>
        <w:tabs>
          <w:tab w:val="clear" w:pos="720"/>
          <w:tab w:val="left" w:pos="-1440" w:leader="none"/>
        </w:tabs>
        <w:ind w:hanging="5760" w:start="5760" w:end="0"/>
        <w:rPr>
          <w:sz w:val="24"/>
        </w:rPr>
      </w:pPr>
      <w:r>
        <w:rPr>
          <w:sz w:val="24"/>
        </w:rPr>
        <w:t>Commission’s Findings.</w:t>
        <w:tab/>
        <w:tab/>
        <w:tab/>
        <w:tab/>
        <w:tab/>
        <w:t>)</w:t>
      </w:r>
    </w:p>
    <w:p>
      <w:pPr>
        <w:pStyle w:val="Normal"/>
        <w:tabs>
          <w:tab w:val="clear" w:pos="720"/>
          <w:tab w:val="left" w:pos="-1440" w:leader="none"/>
        </w:tabs>
        <w:ind w:hanging="720" w:start="6480" w:end="0"/>
        <w:rPr>
          <w:sz w:val="24"/>
        </w:rPr>
      </w:pPr>
      <w:r>
        <w:rPr>
          <w:sz w:val="24"/>
        </w:rPr>
        <w:t>)</w:t>
        <w:tab/>
      </w:r>
    </w:p>
    <w:p>
      <w:pPr>
        <w:pStyle w:val="Normal"/>
        <w:rPr>
          <w:sz w:val="24"/>
        </w:rPr>
      </w:pPr>
      <w:r>
        <w:rPr>
          <w:sz w:val="24"/>
        </w:rPr>
      </w:r>
    </w:p>
    <w:p>
      <w:pPr>
        <w:pStyle w:val="Normal"/>
        <w:rPr>
          <w:sz w:val="24"/>
        </w:rPr>
      </w:pPr>
      <w:r>
        <w:rPr>
          <w:sz w:val="24"/>
        </w:rPr>
      </w:r>
    </w:p>
    <w:p>
      <w:pPr>
        <w:pStyle w:val="Normal"/>
        <w:jc w:val="center"/>
        <w:rPr>
          <w:b/>
          <w:bCs/>
          <w:sz w:val="24"/>
        </w:rPr>
      </w:pPr>
      <w:r>
        <w:rPr>
          <w:b/>
          <w:bCs/>
          <w:sz w:val="24"/>
        </w:rPr>
        <w:t>DIRECT TESTIMONY OF R. THOMAS BEACH</w:t>
      </w:r>
    </w:p>
    <w:p>
      <w:pPr>
        <w:pStyle w:val="Normal"/>
        <w:jc w:val="center"/>
        <w:rPr>
          <w:b/>
          <w:bCs/>
          <w:sz w:val="24"/>
        </w:rPr>
      </w:pPr>
      <w:r>
        <w:rPr>
          <w:b/>
          <w:bCs/>
          <w:sz w:val="24"/>
        </w:rPr>
        <w:t>ON BEHALF OF INDICATED ELECTRIC GENERATORS</w:t>
      </w:r>
    </w:p>
    <w:p>
      <w:pPr>
        <w:pStyle w:val="Normal"/>
        <w:jc w:val="center"/>
        <w:rPr>
          <w:b/>
          <w:bCs/>
          <w:sz w:val="24"/>
        </w:rPr>
      </w:pPr>
      <w:r>
        <w:rPr>
          <w:b/>
          <w:bCs/>
          <w:sz w:val="24"/>
        </w:rPr>
        <w:t xml:space="preserve">IN SUPPORT OF </w:t>
      </w:r>
    </w:p>
    <w:p>
      <w:pPr>
        <w:pStyle w:val="Normal"/>
        <w:jc w:val="center"/>
        <w:rPr>
          <w:b/>
          <w:bCs/>
          <w:sz w:val="24"/>
        </w:rPr>
      </w:pPr>
      <w:r>
        <w:rPr>
          <w:b/>
          <w:bCs/>
          <w:sz w:val="24"/>
        </w:rPr>
        <w:t xml:space="preserve">THE COMPREHENSIVE SETTLEMENT AGREEMENT </w:t>
      </w:r>
    </w:p>
    <w:p>
      <w:pPr>
        <w:pStyle w:val="Normal"/>
        <w:rPr>
          <w:b/>
          <w:bCs/>
          <w:sz w:val="24"/>
        </w:rPr>
      </w:pPr>
      <w:r>
        <w:rPr>
          <w:b/>
          <w:bCs/>
          <w:sz w:val="24"/>
        </w:rPr>
      </w:r>
    </w:p>
    <w:p>
      <w:pPr>
        <w:pStyle w:val="Normal"/>
        <w:ind w:firstLine="720" w:end="0"/>
        <w:rPr>
          <w:sz w:val="24"/>
        </w:rPr>
      </w:pPr>
      <w:r>
        <w:rPr>
          <w:sz w:val="24"/>
        </w:rPr>
        <w:t>My name is R. Thomas Beach. I am principal consultant with the firm Crossborder Energy. My business address is 2560 Ninth Street, Suite 316, Berkeley, California 94710.  My experience and qualifications are described in Attachment RTB-1 to this testimony.  This attachment includes a list of the prior testimony that I have sponsored before this Commission.  I have also testified before the Federal Energy Regulatory Commission (FERC) and the Nevada Public Service Commission.</w:t>
      </w:r>
    </w:p>
    <w:p>
      <w:pPr>
        <w:pStyle w:val="Normal"/>
        <w:rPr>
          <w:sz w:val="24"/>
        </w:rPr>
      </w:pPr>
      <w:r>
        <w:rPr>
          <w:sz w:val="24"/>
        </w:rPr>
      </w:r>
    </w:p>
    <w:p>
      <w:pPr>
        <w:pStyle w:val="Normal"/>
        <w:rPr>
          <w:b/>
          <w:bCs/>
          <w:sz w:val="24"/>
        </w:rPr>
      </w:pPr>
      <w:r>
        <w:rPr>
          <w:b/>
          <w:bCs/>
          <w:sz w:val="24"/>
        </w:rPr>
      </w:r>
    </w:p>
    <w:p>
      <w:pPr>
        <w:pStyle w:val="QuickI"/>
        <w:numPr>
          <w:ilvl w:val="0"/>
          <w:numId w:val="0"/>
        </w:numPr>
        <w:tabs>
          <w:tab w:val="left" w:pos="-1440" w:leader="none"/>
        </w:tabs>
        <w:ind w:hanging="0" w:start="0"/>
        <w:rPr>
          <w:b/>
          <w:bCs/>
          <w:sz w:val="24"/>
        </w:rPr>
      </w:pPr>
      <w:r>
        <w:rPr>
          <w:b/>
          <w:bCs/>
          <w:sz w:val="24"/>
        </w:rPr>
        <w:t>I.</w:t>
        <w:tab/>
        <w:t>INTRODUCTION</w:t>
      </w:r>
    </w:p>
    <w:p>
      <w:pPr>
        <w:pStyle w:val="Normal"/>
        <w:rPr>
          <w:b/>
          <w:bCs/>
          <w:sz w:val="24"/>
        </w:rPr>
      </w:pPr>
      <w:r>
        <w:rPr>
          <w:b/>
          <w:bCs/>
          <w:sz w:val="24"/>
        </w:rPr>
      </w:r>
    </w:p>
    <w:p>
      <w:pPr>
        <w:pStyle w:val="Normal"/>
        <w:ind w:firstLine="720" w:end="0"/>
        <w:rPr/>
      </w:pPr>
      <w:r>
        <w:rPr>
          <w:sz w:val="24"/>
        </w:rPr>
        <w:t>This testimony provides the perspective of the indicated electric generators</w:t>
      </w:r>
      <w:r>
        <w:rPr>
          <w:rStyle w:val="FootnoteCharacters"/>
          <w:rStyle w:val="FootnoteReference"/>
          <w:sz w:val="24"/>
          <w:vertAlign w:val="superscript"/>
        </w:rPr>
        <w:footnoteReference w:id="2"/>
      </w:r>
      <w:r>
        <w:rPr>
          <w:sz w:val="24"/>
        </w:rPr>
        <w:t xml:space="preserve"> in support of the comprehensive settlement agreement that over 20 parties filed in this proceeding on April 17, 2000.  The electric generators supporting the comprehensive settlement include past, present, and prospective owners and operators of gas-fired generation facilities in southern California that take gas transportation service on the gas systems of the Southern California Gas Company (SoCalGas) and San Diego Gas and Electric Company (SDG&amp;E).  These facilities include conventional power plants recently divested by electric utilities, industrial cogeneration projects, and potential new combined-cycle electric merchant plants.</w:t>
      </w:r>
    </w:p>
    <w:p>
      <w:pPr>
        <w:pStyle w:val="Normal"/>
        <w:rPr>
          <w:sz w:val="24"/>
        </w:rPr>
      </w:pPr>
      <w:r>
        <w:rPr>
          <w:sz w:val="24"/>
        </w:rPr>
      </w:r>
    </w:p>
    <w:p>
      <w:pPr>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firstLine="720" w:end="0"/>
        <w:rPr>
          <w:sz w:val="24"/>
        </w:rPr>
      </w:pPr>
      <w:r>
        <w:rPr>
          <w:sz w:val="24"/>
        </w:rPr>
        <w:t>The electric generators supporting this settlement are a diverse group.  They include the operators of older, conventional generation facilities that serve as intermediate-load and peaking plants (with relatively low load factors on the gas system), as well as cogeneration and merchant plants that operate or will operate in a baseload mode (with correspondingly high load factors on the gas system).  The electric generators supporting the settlement include merchant generators selling into the new electric markets in California, cogenerators under long-term contracts to sell power to the electric utilities, and an electric utility (Southern California Edison) with a strong interest in a vibrantly competitive market for gas-fired electric generation.  It is a significant accomplishment to fashion a comprehensive settlement of the issues in this proceeding that could attract such a wide range of support among such a diverse group of electric generators.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sz w:val="24"/>
        </w:rPr>
      </w:pPr>
      <w:r>
        <w:rPr>
          <w:b/>
          <w:bCs/>
          <w:sz w:val="24"/>
        </w:rPr>
        <w:t>II.</w:t>
        <w:tab/>
        <w:t>THE BENEFITS OF THE SETTLEMENT FOR ELECTRIC GENERATORS</w:t>
      </w:r>
    </w:p>
    <w:p>
      <w:pPr>
        <w:pStyle w:val="Normal"/>
        <w:rPr>
          <w:sz w:val="24"/>
        </w:rPr>
      </w:pPr>
      <w:r>
        <w:rPr>
          <w:sz w:val="24"/>
        </w:rPr>
      </w:r>
    </w:p>
    <w:p>
      <w:pPr>
        <w:pStyle w:val="Normal"/>
        <w:ind w:firstLine="720" w:end="0"/>
        <w:rPr>
          <w:sz w:val="24"/>
        </w:rPr>
      </w:pPr>
      <w:r>
        <w:rPr>
          <w:sz w:val="24"/>
        </w:rPr>
        <w:t xml:space="preserve">Many of the changes proposed in the Comprehensive Settlement will benefit electric generators and their customers.  I discuss these benefits below, beginning with the rate impacts of the settlement on electric generation customers.  I then comment on the ways in which the settlement will enhance generators’ gas service options and improve their ability to manage their fuel supplies.  I conclude by discussing the benefits of the settlement for electric ratepayers throughout California. </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A.</w:t>
        <w:tab/>
        <w:t>The Settlement Will Reduce EG Rates.</w:t>
      </w:r>
    </w:p>
    <w:p>
      <w:pPr>
        <w:pStyle w:val="Normal"/>
        <w:rPr>
          <w:b/>
          <w:bCs/>
          <w:sz w:val="24"/>
        </w:rPr>
      </w:pPr>
      <w:r>
        <w:rPr>
          <w:b/>
          <w:bCs/>
          <w:sz w:val="24"/>
        </w:rPr>
      </w:r>
    </w:p>
    <w:p>
      <w:pPr>
        <w:pStyle w:val="Normal"/>
        <w:ind w:firstLine="720" w:end="0"/>
        <w:rPr>
          <w:sz w:val="24"/>
        </w:rPr>
      </w:pPr>
      <w:r>
        <w:rPr>
          <w:sz w:val="24"/>
        </w:rPr>
        <w:t>Given the statewide electric market in which they sell their production, electric generators are concerned with the absolute level of SoCalGas’ rates.  Analysis of the rate impacts of the settlement, presented in the testimony of Mr. Lorenz, indicates that electric generation (EG) rates in 2002 could decline by  $3 million per year (before considering the impacts of core interstate unbundling), compared to the EG rates that the Commission recently adopted in the SoCalGas / SDG&amp;E BCAP decision, D. 00-04-060.</w:t>
      </w:r>
    </w:p>
    <w:p>
      <w:pPr>
        <w:pStyle w:val="Normal"/>
        <w:rPr>
          <w:sz w:val="24"/>
        </w:rPr>
      </w:pPr>
      <w:r>
        <w:rPr>
          <w:sz w:val="24"/>
        </w:rPr>
      </w:r>
    </w:p>
    <w:p>
      <w:pPr>
        <w:pStyle w:val="Normal"/>
        <w:rPr>
          <w:sz w:val="24"/>
        </w:rPr>
      </w:pPr>
      <w:r>
        <w:rPr>
          <w:sz w:val="24"/>
        </w:rPr>
        <w:tab/>
        <w:t>The settlement is expected to meet its goal, expressed in Section 1.11, of minimizing cost shifts between core and noncore customers. Within the noncore class, Mr. Lorenz’ analysis shows that rates to EG customers will fall slightly, while noncore industrial and wholesale rates will rise modestly. The slight cost shift is clearly acceptable and in the public interest when weighed against other benefits of the settlement.</w:t>
      </w:r>
    </w:p>
    <w:p>
      <w:pPr>
        <w:pStyle w:val="Normal"/>
        <w:rPr>
          <w:sz w:val="24"/>
        </w:rPr>
      </w:pPr>
      <w:r>
        <w:rPr>
          <w:sz w:val="24"/>
        </w:rPr>
      </w:r>
    </w:p>
    <w:p>
      <w:pPr>
        <w:pStyle w:val="Normal"/>
        <w:ind w:firstLine="720" w:end="0"/>
        <w:rPr>
          <w:sz w:val="24"/>
        </w:rPr>
      </w:pPr>
      <w:r>
        <w:rPr>
          <w:sz w:val="24"/>
        </w:rPr>
        <w:t>Electric generators are also pleased that the settlement resolves the thorny, contentious issue of how to allocate the above-market costs associated with the unbundling of core interstate pipeline capacity.  The lack of progress on this issue in recent years has produced rate uncertainty on the SoCalGas system.  The settlement resolves this difficult issue in a manner that equitably balances the interests of both core and noncore customers.  The core gains relief from its 10% contribution to traditional ITCS costs, while the noncore’s responsibility for the stranded costs of the core reservation is limited to a total of $7 million in 2000 and 2001.  Beginning in 2002, the core and noncore must “bury their own dead” with respect to interstate transition costs.  In other words, each customer class is responsible for its contribution to stranded costs. Thus, the settlement resolves this longstanding issue in a manner that is fair to both the core and noncore, and at a cost to noncore customers that is less than possible outcomes if this issue were to be litigated.  In fact, even after considering the rate impacts of core interstate unbundling, EG rates are likely to be only slightly higher than the rates recently adopted in D. 00-04-060.</w:t>
      </w:r>
    </w:p>
    <w:p>
      <w:pPr>
        <w:pStyle w:val="Normal"/>
        <w:ind w:firstLine="720" w:end="0"/>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rPr/>
      </w:pPr>
      <w:r>
        <w:rPr>
          <w:b/>
          <w:bCs/>
          <w:sz w:val="24"/>
        </w:rPr>
        <w:t>B.</w:t>
        <w:tab/>
        <w:t>The Settlement Will Enhance the Stability and Certainty of SoCalGas’ Rates</w:t>
      </w:r>
      <w:r>
        <w:rPr>
          <w:sz w:val="24"/>
        </w:rPr>
        <w:t>.</w:t>
      </w:r>
    </w:p>
    <w:p>
      <w:pPr>
        <w:pStyle w:val="Normal"/>
        <w:rPr>
          <w:sz w:val="24"/>
        </w:rPr>
      </w:pPr>
      <w:r>
        <w:rPr>
          <w:sz w:val="24"/>
        </w:rPr>
      </w:r>
    </w:p>
    <w:p>
      <w:pPr>
        <w:pStyle w:val="Normal"/>
        <w:ind w:firstLine="720" w:end="0"/>
        <w:rPr>
          <w:sz w:val="24"/>
        </w:rPr>
      </w:pPr>
      <w:r>
        <w:rPr>
          <w:sz w:val="24"/>
        </w:rPr>
        <w:t xml:space="preserve">Generators must make long-term decisions on their investments in serving the California electric market.  The settlement eliminates some disincentives to siting new generation closer to the load center and within areas of electric transmission constraints.  For example, by establishing firm tradeable rights to backbone capacity on the SoCalGas system, new generators can acquire firm capacity rights to serve their new plants located on the SoCalGas system. </w:t>
      </w:r>
    </w:p>
    <w:p>
      <w:pPr>
        <w:pStyle w:val="Normal"/>
        <w:ind w:firstLine="720" w:end="0"/>
        <w:rPr>
          <w:sz w:val="24"/>
        </w:rPr>
      </w:pPr>
      <w:r>
        <w:rPr>
          <w:sz w:val="24"/>
        </w:rPr>
      </w:r>
    </w:p>
    <w:p>
      <w:pPr>
        <w:pStyle w:val="Normal"/>
        <w:ind w:firstLine="720" w:end="0"/>
        <w:rPr>
          <w:sz w:val="24"/>
        </w:rPr>
      </w:pPr>
      <w:r>
        <w:rPr>
          <w:sz w:val="24"/>
        </w:rPr>
        <w:t>Today, the unknowns associated with SoCalGas’ future rates make it difficult for generators to make long-term business plans.  As a result, generators place substantial value on measures that will improve the stability and certainty of SoCalGas’ transportation charges.  The settlement will enhance the certainty of SoCalGas’ transmission and storage rates through August, 2006, for the following reasons: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Unbundled transmission and storage rates will be based on </w:t>
      </w:r>
      <w:r>
        <w:rPr>
          <w:b/>
          <w:bCs/>
          <w:sz w:val="24"/>
        </w:rPr>
        <w:t>a defined dollar amount of embedded costs</w:t>
      </w:r>
      <w:r>
        <w:rPr>
          <w:sz w:val="24"/>
        </w:rPr>
        <w:t>, escalated according to the PBR escalation factor.  As a result, transmission and storage rates will be removed from the BCAP process through August, 2006.  The use of embedded costs will make these rates much more stable than equivalent rates under the current long-run marginal cost (LRMC) rate design.  The long-run marginal costs of SoCalGas’ transmission and storage facilities have been the subject of acrimonious debate in past BCAP cases, and the Commission has expressed dissatisfaction with the LRMC process for setting these rates (</w:t>
      </w:r>
      <w:r>
        <w:rPr>
          <w:i/>
          <w:iCs/>
          <w:sz w:val="24"/>
        </w:rPr>
        <w:t>see</w:t>
      </w:r>
      <w:r>
        <w:rPr>
          <w:sz w:val="24"/>
        </w:rPr>
        <w:t xml:space="preserve"> D. 97-04-082, at 41 - 45).</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The escalation of transmission and storage costs over the settlement period is based on the </w:t>
      </w:r>
      <w:r>
        <w:rPr>
          <w:b/>
          <w:bCs/>
          <w:sz w:val="24"/>
        </w:rPr>
        <w:t>PBR escalator</w:t>
      </w:r>
      <w:r>
        <w:rPr>
          <w:sz w:val="24"/>
        </w:rPr>
        <w:t>, which through 2002 includes a large productivity factor (2.4% in 2001 and 2.5% in 2002) that should largely offset the inflation and customer growth factors.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The recently-adopted BCAP throughput forecast will be the basis of unbundled backbone rates through August 2006, with </w:t>
      </w:r>
      <w:r>
        <w:rPr>
          <w:b/>
          <w:bCs/>
          <w:sz w:val="24"/>
        </w:rPr>
        <w:t xml:space="preserve">SoCalGas bearing 100% of the risks </w:t>
      </w:r>
      <w:r>
        <w:rPr>
          <w:sz w:val="24"/>
        </w:rPr>
        <w:t>if subscription to backbone service is inconsistent with this forecast. In addition, the adopted load factor in the settlement includes a stretch factor above existing BCAP levels.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By the third year of the settlement, </w:t>
      </w:r>
      <w:r>
        <w:rPr>
          <w:b/>
          <w:bCs/>
          <w:sz w:val="24"/>
        </w:rPr>
        <w:t>SoCalGas will bear 100% of the risks for unrecovered storage costs</w:t>
      </w:r>
      <w:r>
        <w:rPr>
          <w:sz w:val="24"/>
        </w:rPr>
        <w:t>, thus eliminating the potential for customers to continue to bear significant risks related to storage transition costs.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Finally, the issue of </w:t>
      </w:r>
      <w:r>
        <w:rPr>
          <w:b/>
          <w:bCs/>
          <w:sz w:val="24"/>
        </w:rPr>
        <w:t>core interstate unbundling is resolved</w:t>
      </w:r>
      <w:r>
        <w:rPr>
          <w:sz w:val="24"/>
        </w:rPr>
        <w:t>.</w:t>
      </w:r>
    </w:p>
    <w:p>
      <w:pPr>
        <w:pStyle w:val="Normal"/>
        <w:rPr>
          <w:sz w:val="24"/>
        </w:rPr>
      </w:pPr>
      <w:r>
        <w:rPr>
          <w:sz w:val="24"/>
        </w:rPr>
      </w:r>
    </w:p>
    <w:p>
      <w:pPr>
        <w:pStyle w:val="Normal"/>
        <w:rPr>
          <w:sz w:val="24"/>
        </w:rPr>
      </w:pPr>
      <w:r>
        <w:rPr>
          <w:sz w:val="24"/>
        </w:rPr>
        <w:t xml:space="preserve">In my view, the settlement will reduce EG customers’ exposure to major rate changes on the SoCalGas system for the next six-plus years, until September, 2006.  </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C.</w:t>
        <w:tab/>
        <w:t>Gas-on-Gas Competition in a City-gate Market Will Benefit EG Customers.</w:t>
      </w:r>
      <w:r>
        <w:rPr>
          <w:sz w:val="24"/>
        </w:rPr>
        <w:t xml:space="preserve"> </w:t>
      </w:r>
    </w:p>
    <w:p>
      <w:pPr>
        <w:pStyle w:val="Normal"/>
        <w:rPr>
          <w:b/>
          <w:bCs/>
          <w:sz w:val="24"/>
        </w:rPr>
      </w:pPr>
      <w:r>
        <w:rPr>
          <w:b/>
          <w:bCs/>
          <w:sz w:val="24"/>
        </w:rPr>
      </w:r>
    </w:p>
    <w:p>
      <w:pPr>
        <w:pStyle w:val="Normal"/>
        <w:ind w:firstLine="720" w:end="0"/>
        <w:rPr>
          <w:sz w:val="24"/>
        </w:rPr>
      </w:pPr>
      <w:r>
        <w:rPr>
          <w:sz w:val="24"/>
        </w:rPr>
        <w:t xml:space="preserve">The unbundling of SoCalGas’ transmission system, and the creation of firm rights to backbone capacity, will allow the development of a Los Angeles city-gate market for the sale of gas.  </w:t>
      </w:r>
    </w:p>
    <w:p>
      <w:pPr>
        <w:pStyle w:val="Normal"/>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pPr>
      <w:r>
        <w:rPr>
          <w:sz w:val="24"/>
        </w:rPr>
        <w:t xml:space="preserve">Under the PG&amp;E Gas Accord, a successful city-gate market has developed on the PG&amp;E system in northern California.  The competition to sell gas at the PG&amp;E city-gate has benefited end use customers in northern California, including electric generators.  Since March 1998, </w:t>
      </w:r>
      <w:r>
        <w:rPr>
          <w:i/>
          <w:iCs/>
          <w:sz w:val="24"/>
        </w:rPr>
        <w:t>Natural Gas Intelligence</w:t>
      </w:r>
      <w:r>
        <w:rPr>
          <w:sz w:val="24"/>
        </w:rPr>
        <w:t xml:space="preserve"> has reported weekly PG&amp;E city-gate prices, and the </w:t>
      </w:r>
      <w:r>
        <w:rPr>
          <w:i/>
          <w:iCs/>
          <w:sz w:val="24"/>
        </w:rPr>
        <w:t xml:space="preserve">NGI </w:t>
      </w:r>
      <w:r>
        <w:rPr>
          <w:sz w:val="24"/>
        </w:rPr>
        <w:t xml:space="preserve">PG&amp;E city-gate price index is widely used for sales to end-users on the PG&amp;E system.  On the PG&amp;E system, marketers now compete to make city-gate sales; as a result, PG&amp;E city-gate prices often are lower than California border prices plus the PG&amp;E transmission rates to reach the city-gate.  End users get the direct benefits of this city-gate competition.  </w:t>
      </w:r>
      <w:r>
        <w:rPr>
          <w:b/>
          <w:bCs/>
          <w:sz w:val="24"/>
        </w:rPr>
        <w:t>Figure 1</w:t>
      </w:r>
      <w:r>
        <w:rPr>
          <w:sz w:val="24"/>
        </w:rPr>
        <w:t xml:space="preserve"> compares PG&amp;E city-gate prices to California border prices plus the applicable PG&amp;E as-available transportation rate to reach the PG&amp;E city-gate.</w:t>
      </w:r>
      <w:r>
        <w:rPr>
          <w:rStyle w:val="FootnoteCharacters"/>
          <w:rStyle w:val="FootnoteReference"/>
          <w:sz w:val="24"/>
          <w:vertAlign w:val="superscript"/>
        </w:rPr>
        <w:footnoteReference w:id="3"/>
      </w:r>
      <w:r>
        <w:rPr>
          <w:sz w:val="24"/>
        </w:rPr>
        <w:t xml:space="preserve">  As shown on the figure, over the past two years PG&amp;E city-gate prices have averaged $0.03 and $0.08 per Dth lower than the other options of border purchases at Malin and Topock, respectively, plus as-available transportation to the city-gate.  PG&amp;E city-gates prices have also been $0.05 per Dth lower than Topock prices plus the firm transportation rate to the city-gate on PG&amp;E’s Baja path.  </w:t>
      </w:r>
    </w:p>
    <w:p>
      <w:pPr>
        <w:pStyle w:val="Normal"/>
        <w:rPr>
          <w:sz w:val="24"/>
        </w:rPr>
      </w:pPr>
      <w:r>
        <w:rPr>
          <w:sz w:val="24"/>
        </w:rPr>
      </w:r>
    </w:p>
    <w:p>
      <w:pPr>
        <w:pStyle w:val="Normal"/>
        <w:ind w:firstLine="720" w:end="0"/>
        <w:rPr>
          <w:sz w:val="24"/>
        </w:rPr>
      </w:pPr>
      <w:r>
        <w:rPr>
          <w:sz w:val="24"/>
        </w:rPr>
        <w:t>This experience on the PG&amp;E system suggests that noncore and wholesale customers will benefit directly from the enhanced competition that results when the market is moved further downstream, from the border to the city-gate.  Finally, the city-gate market will provide electric generators with variable loads with an important new gas procurement option.  Purchases at the city-gate will enable generators to avoid or to mitigate any adverse impacts from the demand charges that the settlement proposes for backbone transmission capacity.</w:t>
      </w:r>
    </w:p>
    <w:p>
      <w:pPr>
        <w:pStyle w:val="Normal"/>
        <w:rPr>
          <w:sz w:val="24"/>
        </w:rPr>
      </w:pPr>
      <w:r>
        <w:rPr>
          <w:sz w:val="24"/>
        </w:rPr>
      </w:r>
    </w:p>
    <w:p>
      <w:pPr>
        <w:pStyle w:val="Normal"/>
        <w:tabs>
          <w:tab w:val="clear" w:pos="720"/>
          <w:tab w:val="left" w:pos="-1440" w:leader="none"/>
        </w:tabs>
        <w:ind w:hanging="720" w:start="1440" w:end="0"/>
        <w:rPr/>
      </w:pPr>
      <w:r>
        <w:rPr>
          <w:b/>
          <w:bCs/>
          <w:sz w:val="24"/>
        </w:rPr>
        <w:t xml:space="preserve">D. </w:t>
        <w:tab/>
        <w:t>New Service Options Will Allow EG Customers to Reduce Costs</w:t>
      </w:r>
      <w:r>
        <w:rPr>
          <w:sz w:val="24"/>
        </w:rPr>
        <w:t>.</w:t>
      </w:r>
    </w:p>
    <w:p>
      <w:pPr>
        <w:pStyle w:val="Normal"/>
        <w:rPr>
          <w:sz w:val="24"/>
        </w:rPr>
      </w:pPr>
      <w:r>
        <w:rPr>
          <w:sz w:val="24"/>
        </w:rPr>
      </w:r>
    </w:p>
    <w:p>
      <w:pPr>
        <w:pStyle w:val="Normal"/>
        <w:ind w:firstLine="720" w:end="0"/>
        <w:rPr>
          <w:sz w:val="24"/>
        </w:rPr>
      </w:pPr>
      <w:r>
        <w:rPr>
          <w:sz w:val="24"/>
        </w:rPr>
        <w:t>The restructuring of California’s electric market places increasing competitive pressure on gas-fired electric generators.  In this environment, gas-fired generators need to have unbundled, competitive options for natural gas services, in order to tailor their gas rates and services to best match conditions in the electric market.  Electric generators with highly variable gas loads also need new tools to help them to manage the procurement and transportation of gas supplies. Unbundling will permit electric customers to lower their costs by tailoring their purchases of gas services to best meet their needs.  The unbundled services that the settlement would implement include:</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 xml:space="preserve">Lower-cost balancing services.  </w:t>
      </w:r>
      <w:r>
        <w:rPr>
          <w:sz w:val="24"/>
        </w:rPr>
        <w:t>Today, SoCalGas offers just one type of balancing service: monthly balancing with a 10% monthly tolerance.  The settlement continues this service as the default option for noncore customers, but also opens SoCalGas’ storage and balancing services to real competition.  Other storage providers may be able to offer the same monthly balancing at a lower cost than SoCalGas, or will offer a different balancing service at a significant discount from SoCalGas’ present rates.  Electric generators’ needs for balancing services vary widely, and the settlement will allow customers to design balancing services to meet their specific needs.</w:t>
      </w:r>
    </w:p>
    <w:p>
      <w:pPr>
        <w:pStyle w:val="Normal"/>
        <w:rPr>
          <w:sz w:val="24"/>
        </w:rPr>
      </w:pPr>
      <w:r>
        <w:rPr>
          <w:sz w:val="24"/>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1"/>
        <w:numPr>
          <w:ilvl w:val="0"/>
          <w:numId w:val="3"/>
        </w:numPr>
        <w:tabs>
          <w:tab w:val="clear" w:pos="720"/>
          <w:tab w:val="left" w:pos="-1440" w:leader="none"/>
        </w:tabs>
        <w:rPr>
          <w:sz w:val="24"/>
        </w:rPr>
      </w:pPr>
      <w:r>
        <w:rPr>
          <w:b/>
          <w:bCs/>
          <w:sz w:val="24"/>
        </w:rPr>
        <w:t xml:space="preserve">Unbundled storage services.  </w:t>
      </w:r>
      <w:r>
        <w:rPr>
          <w:sz w:val="24"/>
        </w:rPr>
        <w:t>Storage also may be an option for electric generators whose gas demand fluctuates significantly on a daily basis.  The settlement unbundles SoCalGas’ storage costs and services, and may allow independent storage providers to compete with SoCalGas’ unbundled storage services.  Storage rates will be based on embedded costs without balancing account treatment, and thus will be more stable and certain.</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 xml:space="preserve">Tools to manage OFO costs.  </w:t>
      </w:r>
      <w:r>
        <w:rPr>
          <w:sz w:val="24"/>
        </w:rPr>
        <w:t>The settlement proposes to implement a variety of innovative tools and trading mechanisms that will provide customers with better means to anticipate and to manage their costs at times when the gas utility must issue operational flow orders (OFOs) to balance its system.  These aspects of the settlement closely follow the model of the recent PG&amp;E settlements in this docket.</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Immediate operational issues.</w:t>
      </w:r>
      <w:r>
        <w:rPr>
          <w:sz w:val="24"/>
        </w:rPr>
        <w:t xml:space="preserve">  The settlement will address certain immediate operational problems on the SoCalGas system, including the elimination of SoCalGas’ “windowing” procedures and establishing Hector Road as a primary receipt point.</w:t>
      </w:r>
    </w:p>
    <w:p>
      <w:pPr>
        <w:pStyle w:val="Normal"/>
        <w:rPr>
          <w:sz w:val="24"/>
        </w:rPr>
      </w:pPr>
      <w:r>
        <w:rPr>
          <w:sz w:val="24"/>
        </w:rPr>
      </w:r>
    </w:p>
    <w:p>
      <w:pPr>
        <w:pStyle w:val="Normal"/>
        <w:tabs>
          <w:tab w:val="clear" w:pos="720"/>
          <w:tab w:val="left" w:pos="-1440" w:leader="none"/>
        </w:tabs>
        <w:ind w:hanging="720" w:start="1440" w:end="0"/>
        <w:rPr>
          <w:sz w:val="24"/>
        </w:rPr>
      </w:pPr>
      <w:r>
        <w:rPr>
          <w:b/>
          <w:bCs/>
          <w:sz w:val="24"/>
        </w:rPr>
        <w:t>E.</w:t>
        <w:tab/>
        <w:t>Generators with Variable Gas Loads Will Be Able to Manage Their Costs.</w:t>
      </w:r>
    </w:p>
    <w:p>
      <w:pPr>
        <w:pStyle w:val="Normal"/>
        <w:rPr>
          <w:sz w:val="24"/>
        </w:rPr>
      </w:pPr>
      <w:r>
        <w:rPr>
          <w:sz w:val="24"/>
        </w:rPr>
      </w:r>
    </w:p>
    <w:p>
      <w:pPr>
        <w:pStyle w:val="Normal"/>
        <w:ind w:firstLine="720" w:end="0"/>
        <w:rPr>
          <w:sz w:val="24"/>
        </w:rPr>
      </w:pPr>
      <w:r>
        <w:rPr>
          <w:sz w:val="24"/>
        </w:rPr>
        <w:t>On the gas side, electric generators have a wide range of load profiles and reliability needs.  Some generators with variable loads have strongly opposed the creation of firm, tradeable transmission rights on the SoCalGas system, because a system of firm transmission rights requires that the holders of such rights commit to pay demand charges to the utility.  These generators have claimed that transmission unbundling would require them to commit to pay substantial demand charges based on their peak day volumes.  This fear is completely misplaced.  In reality, the settlement offers generators a wide range of options to mitigate their exposure to demand charge risks.  For backbone transmission on the SoCalGas system, the settlement creates firm tradeable capacity rights, yet also offers generators a range of rate and service options, with a corresponding range of demand charge obligations, including:</w:t>
      </w:r>
    </w:p>
    <w:p>
      <w:pPr>
        <w:pStyle w:val="Normal"/>
        <w:rPr>
          <w:sz w:val="24"/>
        </w:rPr>
      </w:pPr>
      <w:r>
        <w:rPr>
          <w:sz w:val="24"/>
        </w:rPr>
      </w:r>
    </w:p>
    <w:p>
      <w:pPr>
        <w:pStyle w:val="Style14"/>
        <w:numPr>
          <w:ilvl w:val="0"/>
          <w:numId w:val="2"/>
        </w:numPr>
        <w:tabs>
          <w:tab w:val="clear" w:pos="720"/>
          <w:tab w:val="left" w:pos="-1440" w:leader="none"/>
        </w:tabs>
        <w:ind w:hanging="720" w:start="1440" w:end="0"/>
        <w:rPr>
          <w:sz w:val="24"/>
        </w:rPr>
      </w:pPr>
      <w:r>
        <w:rPr>
          <w:sz w:val="24"/>
        </w:rPr>
        <w:t>SFV rates (100% demand charge)</w:t>
      </w:r>
    </w:p>
    <w:p>
      <w:pPr>
        <w:pStyle w:val="Style14"/>
        <w:numPr>
          <w:ilvl w:val="0"/>
          <w:numId w:val="2"/>
        </w:numPr>
        <w:tabs>
          <w:tab w:val="clear" w:pos="720"/>
          <w:tab w:val="left" w:pos="-1440" w:leader="none"/>
        </w:tabs>
        <w:ind w:hanging="720" w:start="1440" w:end="0"/>
        <w:rPr>
          <w:sz w:val="24"/>
        </w:rPr>
      </w:pPr>
      <w:r>
        <w:rPr>
          <w:sz w:val="24"/>
        </w:rPr>
        <w:t>50% volumetric / 50% demand charge AMFV@ rates</w:t>
      </w:r>
    </w:p>
    <w:p>
      <w:pPr>
        <w:pStyle w:val="Style14"/>
        <w:numPr>
          <w:ilvl w:val="0"/>
          <w:numId w:val="2"/>
        </w:numPr>
        <w:tabs>
          <w:tab w:val="clear" w:pos="720"/>
          <w:tab w:val="left" w:pos="-1440" w:leader="none"/>
        </w:tabs>
        <w:ind w:hanging="720" w:start="1440" w:end="0"/>
        <w:rPr>
          <w:sz w:val="24"/>
        </w:rPr>
      </w:pPr>
      <w:r>
        <w:rPr>
          <w:sz w:val="24"/>
        </w:rPr>
        <w:t>All-volumetric, interruptible rates</w:t>
      </w:r>
    </w:p>
    <w:p>
      <w:pPr>
        <w:pStyle w:val="Style14"/>
        <w:numPr>
          <w:ilvl w:val="0"/>
          <w:numId w:val="2"/>
        </w:numPr>
        <w:tabs>
          <w:tab w:val="clear" w:pos="720"/>
          <w:tab w:val="left" w:pos="-1440" w:leader="none"/>
        </w:tabs>
        <w:ind w:hanging="720" w:start="1440" w:end="0"/>
        <w:rPr>
          <w:sz w:val="24"/>
        </w:rPr>
      </w:pPr>
      <w:r>
        <w:rPr>
          <w:sz w:val="24"/>
        </w:rPr>
        <w:t>City-gate purchases at implicit, market-based backbone rates.</w:t>
      </w:r>
    </w:p>
    <w:p>
      <w:pPr>
        <w:pStyle w:val="Style14"/>
        <w:numPr>
          <w:ilvl w:val="0"/>
          <w:numId w:val="2"/>
        </w:numPr>
        <w:tabs>
          <w:tab w:val="clear" w:pos="720"/>
          <w:tab w:val="left" w:pos="-1440" w:leader="none"/>
        </w:tabs>
        <w:ind w:hanging="720" w:start="1440" w:end="0"/>
        <w:rPr>
          <w:sz w:val="24"/>
        </w:rPr>
      </w:pPr>
      <w:r>
        <w:rPr>
          <w:sz w:val="24"/>
        </w:rPr>
        <w:t>Ability to trade or release unneeded capacity</w:t>
      </w:r>
    </w:p>
    <w:p>
      <w:pPr>
        <w:pStyle w:val="Style14"/>
        <w:numPr>
          <w:ilvl w:val="0"/>
          <w:numId w:val="2"/>
        </w:numPr>
        <w:tabs>
          <w:tab w:val="clear" w:pos="720"/>
          <w:tab w:val="left" w:pos="-1440" w:leader="none"/>
        </w:tabs>
        <w:ind w:hanging="720" w:start="1440" w:end="0"/>
        <w:rPr>
          <w:sz w:val="24"/>
        </w:rPr>
      </w:pPr>
      <w:r>
        <w:rPr>
          <w:sz w:val="24"/>
        </w:rPr>
        <w:t>Ability to buy seasonal released capacity or as-available capacity tailored to their needs</w:t>
      </w:r>
    </w:p>
    <w:p>
      <w:pPr>
        <w:pStyle w:val="Normal"/>
        <w:rPr>
          <w:sz w:val="24"/>
        </w:rPr>
      </w:pPr>
      <w:r>
        <w:rPr>
          <w:sz w:val="24"/>
        </w:rPr>
      </w:r>
    </w:p>
    <w:p>
      <w:pPr>
        <w:pStyle w:val="Normal"/>
        <w:rPr>
          <w:sz w:val="24"/>
        </w:rPr>
      </w:pPr>
      <w:r>
        <w:rPr>
          <w:sz w:val="24"/>
        </w:rPr>
        <w:t>The settlement establishes a secondary market in which shippers can rationalize their holdings of intrastate capacity.  These features will enable generators to tailor their gas rates and services to best meet their needs, and will allow shippers significant flexibility to manage their costs for backbone transmission service.  For example, generators’ demand for natural gas is counter-cyclical.  Summer peaking electric generators may be able to make money by selling unneeded winter capacity in the secondary market to shippers that are serving winter heating loads.  Thus,  generators may be users of capacity when its market value is low, but be able to sell unneeded intrastate capacity when market values are higher.</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F.</w:t>
        <w:tab/>
        <w:t>The Settlement Offers Generators Lower Rates than the Status Quo.</w:t>
      </w:r>
    </w:p>
    <w:p>
      <w:pPr>
        <w:pStyle w:val="Normal"/>
        <w:rPr>
          <w:b/>
          <w:bCs/>
          <w:sz w:val="24"/>
        </w:rPr>
      </w:pPr>
      <w:r>
        <w:rPr>
          <w:b/>
          <w:bCs/>
          <w:sz w:val="24"/>
        </w:rPr>
      </w:r>
    </w:p>
    <w:p>
      <w:pPr>
        <w:pStyle w:val="Normal"/>
        <w:ind w:firstLine="720" w:end="0"/>
        <w:rPr>
          <w:sz w:val="24"/>
        </w:rPr>
      </w:pPr>
      <w:r>
        <w:rPr>
          <w:sz w:val="24"/>
        </w:rPr>
        <w:t>The settlement will provide electric generators with lower rates than the status quo without unbundling, for the following reasons: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The settlement proposes unbundled EG rates that are approximately $3 million per year lower than the rates adopted in the recent BCAP decision.</w:t>
      </w:r>
    </w:p>
    <w:p>
      <w:pPr>
        <w:pStyle w:val="Style14"/>
        <w:numPr>
          <w:ilvl w:val="0"/>
          <w:numId w:val="2"/>
        </w:numPr>
        <w:tabs>
          <w:tab w:val="clear" w:pos="720"/>
          <w:tab w:val="left" w:pos="-1440" w:leader="none"/>
        </w:tabs>
        <w:rPr>
          <w:sz w:val="24"/>
        </w:rPr>
      </w:pPr>
      <w:r>
        <w:rPr>
          <w:sz w:val="24"/>
        </w:rPr>
        <w:t>The core interstate unbundling issue is resolved on reasonable terms for both core and noncore customers.</w:t>
      </w:r>
    </w:p>
    <w:p>
      <w:pPr>
        <w:pStyle w:val="Style14"/>
        <w:numPr>
          <w:ilvl w:val="0"/>
          <w:numId w:val="2"/>
        </w:numPr>
        <w:tabs>
          <w:tab w:val="clear" w:pos="720"/>
          <w:tab w:val="left" w:pos="-1440" w:leader="none"/>
        </w:tabs>
        <w:rPr>
          <w:sz w:val="24"/>
        </w:rPr>
      </w:pPr>
      <w:r>
        <w:rPr>
          <w:sz w:val="24"/>
        </w:rPr>
        <w:t>SoCalGas will be 100% at-risk for backbone transmission revenues immediately, and 100% at-risk for storage revenues by the third year of the settlement.</w:t>
      </w:r>
    </w:p>
    <w:p>
      <w:pPr>
        <w:pStyle w:val="Style14"/>
        <w:numPr>
          <w:ilvl w:val="0"/>
          <w:numId w:val="2"/>
        </w:numPr>
        <w:tabs>
          <w:tab w:val="clear" w:pos="720"/>
          <w:tab w:val="left" w:pos="-1440" w:leader="none"/>
        </w:tabs>
        <w:rPr>
          <w:sz w:val="24"/>
        </w:rPr>
      </w:pPr>
      <w:r>
        <w:rPr>
          <w:sz w:val="24"/>
        </w:rPr>
        <w:t>The settlement creates the potential for competition at the city-gate to reduce the costs of transportation from the border to the city-gate.</w:t>
      </w:r>
    </w:p>
    <w:p>
      <w:pPr>
        <w:pStyle w:val="Style14"/>
        <w:numPr>
          <w:ilvl w:val="0"/>
          <w:numId w:val="2"/>
        </w:numPr>
        <w:tabs>
          <w:tab w:val="clear" w:pos="720"/>
          <w:tab w:val="left" w:pos="-1440" w:leader="none"/>
        </w:tabs>
        <w:rPr>
          <w:sz w:val="24"/>
        </w:rPr>
      </w:pPr>
      <w:r>
        <w:rPr>
          <w:sz w:val="24"/>
        </w:rPr>
        <w:t>Generators will have access to lower-cost storage and balancing services.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b/>
          <w:bCs/>
          <w:sz w:val="24"/>
        </w:rPr>
      </w:pPr>
      <w:r>
        <w:rPr>
          <w:b/>
          <w:bCs/>
          <w:sz w:val="24"/>
        </w:rPr>
        <w:t>III.</w:t>
        <w:tab/>
        <w:t>LOWER TRANSPORTATION RATES TO ELECTRIC GENERATORS WILL BENEFIT ELECTRIC RATEPAYERS STATEWIDE.</w:t>
      </w:r>
    </w:p>
    <w:p>
      <w:pPr>
        <w:pStyle w:val="Normal"/>
        <w:rPr>
          <w:b/>
          <w:bCs/>
          <w:sz w:val="24"/>
        </w:rPr>
      </w:pPr>
      <w:r>
        <w:rPr>
          <w:b/>
          <w:bCs/>
          <w:sz w:val="24"/>
        </w:rPr>
      </w:r>
    </w:p>
    <w:p>
      <w:pPr>
        <w:pStyle w:val="Normal"/>
        <w:ind w:firstLine="720" w:end="0"/>
        <w:rPr>
          <w:sz w:val="24"/>
        </w:rPr>
      </w:pPr>
      <w:r>
        <w:rPr>
          <w:sz w:val="24"/>
        </w:rPr>
        <w:t>Lower gas transportation rates for electric generators in southern California will benefit electric ratepayers statewide.  In many hours, a gas-fired generator in southern California served from the SoCalGas or SDG&amp;E systems will be the marginal, price-setting unit in the California Power Exchange (PX).  Gas-fired generators reflect their delivered cost of fuel, including intrastate transportation costs, in their bids into the PX; thus, to the extent that SoCalGas’ or SDG&amp;E’s EG transportation rates are lower, the bids of southern California generators into the PX are likely to be lower.  In aggregate, this will produce lower PX market-clearing prices either statewide (if there is no transmission congestion) or in the southern California (SP15) zone (when there is congestion between northern and southern California).  Lower PX prices will benefit electric ratepayers indirectly during the term of the current Edison and PG&amp;E rate freezes, by reducing the term of the freezes.  After the rate freeze periods -- and both the Edison and PG&amp;E rate freezes may be over by October 1, 2001 -- electric ratepayers are likely to benefit directly from lower PX prices.  In sum, lower delivered natural gas costs to electric generators in southern California should be expected to lead, over time, to lower PX prices, to the benefit of electric ratepayers statewide.  As a result, the Commission should adopt the comprehensive settlement as in the interests of both gas and electric ratepayers in California.</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i/>
        <w:iCs/>
        <w:sz w:val="24"/>
      </w:rPr>
      <w:tab/>
    </w:r>
    <w:r>
      <w:rPr>
        <w:i/>
        <w:iCs/>
        <w:sz w:val="26"/>
        <w:szCs w:val="26"/>
      </w:rPr>
      <w:t>Crossborder Energy</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4"/>
        </w:rPr>
        <w:t xml:space="preserve">   </w:t>
      </w:r>
      <w:r>
        <w:rPr>
          <w:sz w:val="24"/>
        </w:rPr>
        <w:t>The sponsors of this testimony include the California Cogeneration Council, Calpine Corporation, Dynegy Inc., Southern California Edison Company, and the Watson Cogeneration Company.  Dynegy is the largest electric generation customer on the SoCalGas system, and Watson is the largest cogeneration end user.</w:t>
      </w:r>
    </w:p>
  </w:footnote>
  <w:footnote w:id="3">
    <w:p>
      <w:pPr>
        <w:pStyle w:val="Normal"/>
        <w:spacing w:before="0" w:after="240"/>
        <w:ind w:firstLine="720" w:end="0"/>
        <w:rPr/>
      </w:pPr>
      <w:r>
        <w:rPr>
          <w:rStyle w:val="FootnoteCharacters"/>
        </w:rPr>
        <w:footnoteRef/>
      </w:r>
      <w:r>
        <w:rPr>
          <w:sz w:val="24"/>
        </w:rPr>
        <w:t xml:space="preserve">   </w:t>
      </w:r>
      <w:r>
        <w:rPr>
          <w:sz w:val="24"/>
        </w:rPr>
        <w:t>On the PG&amp;E system, the alternatives to purchasing at the city-gate are (1) Topock border purchases plus Baja Path transport or (2) Malin purchases plus Redwood Path transport.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b/>
      </w:rPr>
    </w:lvl>
  </w:abstractNum>
  <w:abstractNum w:abstractNumId="2">
    <w:lvl w:ilvl="0">
      <w:numFmt w:val="bullet"/>
      <w:lvlText w:val=""/>
      <w:lvlJc w:val="start"/>
      <w:pPr>
        <w:tabs>
          <w:tab w:val="num" w:pos="720"/>
        </w:tabs>
        <w:ind w:start="720" w:hanging="720"/>
      </w:pPr>
      <w:rPr>
        <w:rFonts w:ascii="WP MathA" w:hAnsi="WP MathA" w:cs="WP MathA" w:hint="default"/>
      </w:rPr>
    </w:lvl>
  </w:abstractNum>
  <w:abstractNum w:abstractNumId="3">
    <w:lvl w:ilvl="0">
      <w:numFmt w:val="bullet"/>
      <w:lvlText w:val=""/>
      <w:lvlJc w:val="start"/>
      <w:pPr>
        <w:tabs>
          <w:tab w:val="num" w:pos="720"/>
        </w:tabs>
        <w:ind w:start="720" w:hanging="720"/>
      </w:pPr>
      <w:rPr>
        <w:rFonts w:ascii="WP MathA" w:hAnsi="WP MathA" w:cs="WP MathA"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2z0">
    <w:name w:val="WW8Num2z0"/>
    <w:qFormat/>
    <w:rPr>
      <w:b/>
    </w:rPr>
  </w:style>
  <w:style w:type="character" w:styleId="WW8NumSt2z0">
    <w:name w:val="WW8NumSt2z0"/>
    <w:qFormat/>
    <w:rPr>
      <w:rFonts w:ascii="WP MathA" w:hAnsi="WP MathA" w:cs="WP MathA"/>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numPr>
        <w:ilvl w:val="0"/>
        <w:numId w:val="1"/>
      </w:numPr>
      <w:tabs>
        <w:tab w:val="clear" w:pos="720"/>
      </w:tabs>
      <w:ind w:hanging="720" w:start="720" w:end="0"/>
    </w:pPr>
    <w:rPr/>
  </w:style>
  <w:style w:type="paragraph" w:styleId="Style14">
    <w:name w:val="_"/>
    <w:basedOn w:val="Normal"/>
    <w:qFormat/>
    <w:pPr>
      <w:ind w:hanging="720" w:start="720" w:end="0"/>
    </w:pPr>
    <w:rPr/>
  </w:style>
  <w:style w:type="paragraph" w:styleId="1">
    <w:name w:val="_1"/>
    <w:basedOn w:val="Normal"/>
    <w:qFormat/>
    <w:pPr>
      <w:ind w:hanging="720" w:start="72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2000-05-04T16:26:00Z</dcterms:created>
  <dc:creator>R. Thomas Beach</dc:creator>
  <dc:description/>
  <dc:language>en-CA</dc:language>
  <cp:lastModifiedBy>R. Thomas Beach</cp:lastModifiedBy>
  <cp:lastPrinted>2000-05-03T14:03:00Z</cp:lastPrinted>
  <dcterms:modified xsi:type="dcterms:W3CDTF">2000-05-04T16:26:00Z</dcterms:modified>
  <cp:revision>2</cp:revision>
  <dc:subject/>
  <dc:title/>
</cp:coreProperties>
</file>