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rPr/>
      </w:pPr>
      <w:r>
        <w:rPr>
          <w:sz w:val="24"/>
        </w:rPr>
        <w:tab/>
      </w:r>
      <w:r>
        <w:rPr>
          <w:b/>
          <w:bCs/>
          <w:sz w:val="24"/>
        </w:rPr>
        <w:t>BEFORE THE PUBLIC UTILITIES COMMISSION</w:t>
      </w:r>
    </w:p>
    <w:p>
      <w:pPr>
        <w:pStyle w:val="Normal"/>
        <w:tabs>
          <w:tab w:val="clear" w:pos="720"/>
          <w:tab w:val="center" w:pos="4680" w:leader="none"/>
        </w:tabs>
        <w:rPr>
          <w:sz w:val="24"/>
        </w:rPr>
      </w:pPr>
      <w:r>
        <w:rPr>
          <w:b/>
          <w:bCs/>
          <w:sz w:val="24"/>
        </w:rPr>
        <w:tab/>
        <w:t>OF THE STATE OF CALIFORNIA</w:t>
      </w:r>
    </w:p>
    <w:p>
      <w:pPr>
        <w:pStyle w:val="Normal"/>
        <w:rPr>
          <w:sz w:val="24"/>
        </w:rPr>
      </w:pPr>
      <w:r>
        <w:rPr>
          <w:sz w:val="24"/>
        </w:rPr>
      </w:r>
    </w:p>
    <w:p>
      <w:pPr>
        <w:pStyle w:val="Normal"/>
        <w:rPr>
          <w:sz w:val="24"/>
        </w:rPr>
      </w:pPr>
      <w:r>
        <w:rPr>
          <w:sz w:val="24"/>
        </w:rPr>
      </w:r>
    </w:p>
    <w:p>
      <w:pPr>
        <w:pStyle w:val="Normal"/>
        <w:tabs>
          <w:tab w:val="clear" w:pos="720"/>
          <w:tab w:val="left" w:pos="-1440" w:leader="none"/>
        </w:tabs>
        <w:ind w:hanging="5760" w:start="5760" w:end="0"/>
        <w:rPr/>
      </w:pPr>
      <w:r>
        <w:rPr>
          <w:sz w:val="24"/>
        </w:rPr>
        <w:t>Investigation on the Commission</w:t>
      </w:r>
      <w:r>
        <w:rPr>
          <w:rFonts w:cs="WP TypographicSymbols" w:ascii="WP TypographicSymbols" w:hAnsi="WP TypographicSymbols"/>
          <w:sz w:val="24"/>
        </w:rPr>
        <w:sym w:font="WP TypographicSymbols" w:char="f03d"/>
      </w:r>
      <w:r>
        <w:rPr>
          <w:sz w:val="24"/>
        </w:rPr>
        <w:t>s Own Motion to</w:t>
        <w:tab/>
        <w:tab/>
        <w:t>)</w:t>
      </w:r>
    </w:p>
    <w:p>
      <w:pPr>
        <w:pStyle w:val="Normal"/>
        <w:tabs>
          <w:tab w:val="clear" w:pos="720"/>
          <w:tab w:val="left" w:pos="-1440" w:leader="none"/>
        </w:tabs>
        <w:ind w:hanging="5760" w:start="5760" w:end="0"/>
        <w:rPr>
          <w:sz w:val="24"/>
        </w:rPr>
      </w:pPr>
      <w:r>
        <w:rPr>
          <w:sz w:val="24"/>
        </w:rPr>
        <w:t>Consider the Costs and Benefits of Various Promising</w:t>
        <w:tab/>
        <w:t>)</w:t>
      </w:r>
    </w:p>
    <w:p>
      <w:pPr>
        <w:pStyle w:val="Normal"/>
        <w:tabs>
          <w:tab w:val="clear" w:pos="720"/>
          <w:tab w:val="left" w:pos="-1440" w:leader="none"/>
        </w:tabs>
        <w:ind w:hanging="6480" w:start="6480" w:end="0"/>
        <w:rPr>
          <w:sz w:val="24"/>
        </w:rPr>
      </w:pPr>
      <w:r>
        <w:rPr>
          <w:sz w:val="24"/>
        </w:rPr>
        <w:t>Revisions to the Regulatory and Market Structure</w:t>
        <w:tab/>
        <w:tab/>
        <w:t>)</w:t>
        <w:tab/>
        <w:t>I. 99-07-003</w:t>
      </w:r>
    </w:p>
    <w:p>
      <w:pPr>
        <w:pStyle w:val="Normal"/>
        <w:tabs>
          <w:tab w:val="clear" w:pos="720"/>
          <w:tab w:val="left" w:pos="-1440" w:leader="none"/>
        </w:tabs>
        <w:ind w:hanging="5760" w:start="5760" w:end="0"/>
        <w:rPr/>
      </w:pPr>
      <w:r>
        <w:rPr>
          <w:sz w:val="24"/>
        </w:rPr>
        <w:t>Governing California</w:t>
      </w:r>
      <w:r>
        <w:rPr>
          <w:rFonts w:cs="WP TypographicSymbols" w:ascii="WP TypographicSymbols" w:hAnsi="WP TypographicSymbols"/>
          <w:sz w:val="24"/>
        </w:rPr>
        <w:sym w:font="WP TypographicSymbols" w:char="f03d"/>
      </w:r>
      <w:r>
        <w:rPr>
          <w:sz w:val="24"/>
        </w:rPr>
        <w:t>s Natural Gas Industry and to</w:t>
        <w:tab/>
        <w:tab/>
        <w:t>)</w:t>
      </w:r>
    </w:p>
    <w:p>
      <w:pPr>
        <w:pStyle w:val="Normal"/>
        <w:tabs>
          <w:tab w:val="clear" w:pos="720"/>
          <w:tab w:val="left" w:pos="-1440" w:leader="none"/>
        </w:tabs>
        <w:ind w:hanging="5760" w:start="5760" w:end="0"/>
        <w:rPr>
          <w:sz w:val="24"/>
        </w:rPr>
      </w:pPr>
      <w:r>
        <w:rPr>
          <w:sz w:val="24"/>
        </w:rPr>
        <w:t xml:space="preserve">Report to the California Legislature on the </w:t>
        <w:tab/>
        <w:tab/>
        <w:tab/>
        <w:t>)</w:t>
      </w:r>
    </w:p>
    <w:p>
      <w:pPr>
        <w:pStyle w:val="Normal"/>
        <w:tabs>
          <w:tab w:val="clear" w:pos="720"/>
          <w:tab w:val="left" w:pos="-1440" w:leader="none"/>
        </w:tabs>
        <w:ind w:hanging="5760" w:start="5760" w:end="0"/>
        <w:rPr/>
      </w:pPr>
      <w:r>
        <w:rPr>
          <w:sz w:val="24"/>
        </w:rPr>
        <w:t>Commission</w:t>
      </w:r>
      <w:r>
        <w:rPr>
          <w:rFonts w:cs="WP TypographicSymbols" w:ascii="WP TypographicSymbols" w:hAnsi="WP TypographicSymbols"/>
          <w:sz w:val="24"/>
        </w:rPr>
        <w:sym w:font="WP TypographicSymbols" w:char="f03d"/>
      </w:r>
      <w:r>
        <w:rPr>
          <w:sz w:val="24"/>
        </w:rPr>
        <w:t>s Findings.</w:t>
        <w:tab/>
        <w:tab/>
        <w:tab/>
        <w:tab/>
        <w:tab/>
        <w:t>)</w:t>
      </w:r>
    </w:p>
    <w:p>
      <w:pPr>
        <w:pStyle w:val="Normal"/>
        <w:tabs>
          <w:tab w:val="clear" w:pos="720"/>
          <w:tab w:val="left" w:pos="-1440" w:leader="none"/>
        </w:tabs>
        <w:ind w:hanging="720" w:start="6480" w:end="0"/>
        <w:rPr>
          <w:sz w:val="24"/>
        </w:rPr>
      </w:pPr>
      <w:r>
        <w:rPr>
          <w:sz w:val="24"/>
        </w:rPr>
        <w:t>)</w:t>
        <w:tab/>
      </w:r>
    </w:p>
    <w:p>
      <w:pPr>
        <w:pStyle w:val="Normal"/>
        <w:rPr>
          <w:sz w:val="24"/>
        </w:rPr>
      </w:pPr>
      <w:r>
        <w:rPr>
          <w:sz w:val="24"/>
        </w:rPr>
      </w:r>
    </w:p>
    <w:p>
      <w:pPr>
        <w:pStyle w:val="Normal"/>
        <w:rPr>
          <w:sz w:val="24"/>
        </w:rPr>
      </w:pPr>
      <w:r>
        <w:rPr>
          <w:sz w:val="24"/>
        </w:rPr>
      </w:r>
    </w:p>
    <w:p>
      <w:pPr>
        <w:pStyle w:val="Normal"/>
        <w:jc w:val="center"/>
        <w:rPr>
          <w:b/>
          <w:bCs/>
          <w:sz w:val="24"/>
        </w:rPr>
      </w:pPr>
      <w:r>
        <w:rPr>
          <w:b/>
          <w:bCs/>
          <w:sz w:val="24"/>
        </w:rPr>
        <w:t>REBUTTAL TESTIMONY OF R. THOMAS BEACH</w:t>
      </w:r>
    </w:p>
    <w:p>
      <w:pPr>
        <w:pStyle w:val="Normal"/>
        <w:jc w:val="center"/>
        <w:rPr>
          <w:b/>
          <w:bCs/>
          <w:sz w:val="24"/>
        </w:rPr>
      </w:pPr>
      <w:r>
        <w:rPr>
          <w:b/>
          <w:bCs/>
          <w:sz w:val="24"/>
        </w:rPr>
        <w:t>ON BEHALF OF INDICATED ELECTRIC GENERATORS</w:t>
      </w:r>
    </w:p>
    <w:p>
      <w:pPr>
        <w:pStyle w:val="Normal"/>
        <w:jc w:val="center"/>
        <w:rPr>
          <w:b/>
          <w:bCs/>
          <w:sz w:val="24"/>
        </w:rPr>
      </w:pPr>
      <w:r>
        <w:rPr>
          <w:b/>
          <w:bCs/>
          <w:sz w:val="24"/>
        </w:rPr>
        <w:t xml:space="preserve">IN SUPPORT OF </w:t>
      </w:r>
    </w:p>
    <w:p>
      <w:pPr>
        <w:pStyle w:val="Normal"/>
        <w:jc w:val="center"/>
        <w:rPr/>
      </w:pPr>
      <w:r>
        <w:rPr>
          <w:b/>
          <w:bCs/>
          <w:sz w:val="24"/>
        </w:rPr>
        <w:t xml:space="preserve">THE COMPREHENSIVE SETTLEMENT AGREEMENT </w:t>
      </w:r>
    </w:p>
    <w:p>
      <w:pPr>
        <w:pStyle w:val="Normal"/>
        <w:rPr>
          <w:b/>
          <w:bCs/>
          <w:sz w:val="24"/>
        </w:rPr>
      </w:pPr>
      <w:r>
        <w:rPr>
          <w:b/>
          <w:bCs/>
          <w:sz w:val="24"/>
        </w:rPr>
      </w:r>
    </w:p>
    <w:p>
      <w:pPr>
        <w:pStyle w:val="Normal"/>
        <w:ind w:firstLine="720" w:end="0"/>
        <w:rPr>
          <w:sz w:val="24"/>
        </w:rPr>
      </w:pPr>
      <w:r>
        <w:rPr>
          <w:sz w:val="24"/>
        </w:rPr>
        <w:t>My name is R. Thomas Beach. I am principal consultant with the firm Crossborder Energy. My business address is 2560 Ninth Street, Suite 316, Berkeley, California 94710.  My experience and qualifications are described in Attachment RTB-1 to the direct testimony that I served in this proceeding on May 4, 2000.</w:t>
      </w:r>
    </w:p>
    <w:p>
      <w:pPr>
        <w:pStyle w:val="Normal"/>
        <w:rPr>
          <w:sz w:val="24"/>
        </w:rPr>
      </w:pPr>
      <w:r>
        <w:rPr>
          <w:sz w:val="24"/>
        </w:rPr>
      </w:r>
    </w:p>
    <w:p>
      <w:pPr>
        <w:pStyle w:val="QuickI"/>
        <w:numPr>
          <w:ilvl w:val="0"/>
          <w:numId w:val="1"/>
        </w:numPr>
        <w:tabs>
          <w:tab w:val="left" w:pos="-1440" w:leader="none"/>
          <w:tab w:val="left" w:pos="720" w:leader="none"/>
        </w:tabs>
        <w:rPr>
          <w:sz w:val="24"/>
        </w:rPr>
      </w:pPr>
      <w:r>
        <w:rPr>
          <w:sz w:val="24"/>
        </w:rPr>
        <w:t>INTRODUCTION</w:t>
      </w:r>
    </w:p>
    <w:p>
      <w:pPr>
        <w:pStyle w:val="Normal"/>
        <w:rPr>
          <w:sz w:val="24"/>
        </w:rPr>
      </w:pPr>
      <w:r>
        <w:rPr>
          <w:sz w:val="24"/>
        </w:rPr>
      </w:r>
    </w:p>
    <w:p>
      <w:pPr>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pPr>
    </w:p>
    <w:p>
      <w:pPr>
        <w:pStyle w:val="Normal"/>
        <w:ind w:firstLine="720" w:end="0"/>
        <w:rPr/>
      </w:pPr>
      <w:r>
        <w:rPr>
          <w:sz w:val="24"/>
        </w:rPr>
        <w:t xml:space="preserve">This rebuttal testimony responds to the direct testimony of the Southern California Generation Coalition (SCGC) and The Utility Reform Network (TURN) in support of their </w:t>
      </w:r>
      <w:r>
        <w:rPr>
          <w:rFonts w:cs="WP TypographicSymbols" w:ascii="WP TypographicSymbols" w:hAnsi="WP TypographicSymbols"/>
          <w:sz w:val="24"/>
        </w:rPr>
        <w:sym w:font="WP TypographicSymbols" w:char="f041"/>
      </w:r>
      <w:r>
        <w:rPr>
          <w:sz w:val="24"/>
        </w:rPr>
        <w:t>Post-Interim Settlement Agreement</w:t>
      </w:r>
      <w:r>
        <w:rPr>
          <w:rFonts w:cs="WP TypographicSymbols" w:ascii="WP TypographicSymbols" w:hAnsi="WP TypographicSymbols"/>
          <w:sz w:val="24"/>
        </w:rPr>
        <w:sym w:font="WP TypographicSymbols" w:char="f040"/>
      </w:r>
      <w:r>
        <w:rPr>
          <w:sz w:val="24"/>
        </w:rPr>
        <w:t xml:space="preserve"> (PISA), which was submitted to the Commission on April 3, 2000.  The sponsors of this rebuttal testimony include past, present, and future electric generation customers of the Southern California Gas Company (SoCalGas) and San Diego Gas and Electric (SDG&amp;E).</w:t>
      </w:r>
      <w:r>
        <w:rPr>
          <w:rStyle w:val="FootnoteCharacters"/>
          <w:rStyle w:val="FootnoteReference"/>
          <w:sz w:val="24"/>
          <w:vertAlign w:val="superscript"/>
        </w:rPr>
        <w:footnoteReference w:id="2"/>
      </w:r>
      <w:r>
        <w:rPr>
          <w:sz w:val="24"/>
        </w:rPr>
        <w:t xml:space="preserve">  The sponsors of this testimony are all signatories to and supporters of the Comprehensive Settlement Agreement that over 20 parties filed on April 17, 2000.  For the reasons set forth below, the sponsors of this testimony do not support the SCGC / TURN PISA to the extent that it fails to unbundle intrastate transmission, a step that is one of </w:t>
      </w:r>
      <w:r>
        <w:rPr>
          <w:rFonts w:cs="WP TypographicSymbols" w:ascii="WP TypographicSymbols" w:hAnsi="WP TypographicSymbols"/>
          <w:sz w:val="24"/>
        </w:rPr>
        <w:sym w:font="WP TypographicSymbols" w:char="f041"/>
      </w:r>
      <w:r>
        <w:rPr>
          <w:sz w:val="24"/>
        </w:rPr>
        <w:t>the most promising options</w:t>
      </w:r>
      <w:r>
        <w:rPr>
          <w:rFonts w:cs="WP TypographicSymbols" w:ascii="WP TypographicSymbols" w:hAnsi="WP TypographicSymbols"/>
          <w:sz w:val="24"/>
        </w:rPr>
        <w:sym w:font="WP TypographicSymbols" w:char="f040"/>
      </w:r>
      <w:r>
        <w:rPr>
          <w:sz w:val="24"/>
        </w:rPr>
        <w:t xml:space="preserve"> that the Commission has identified for the restructuring of the SoCalGas system.</w:t>
      </w:r>
      <w:r>
        <w:rPr>
          <w:rStyle w:val="FootnoteCharacters"/>
          <w:rStyle w:val="FootnoteReference"/>
          <w:sz w:val="24"/>
          <w:vertAlign w:val="superscript"/>
        </w:rPr>
        <w:footnoteReference w:id="3"/>
      </w:r>
      <w:r>
        <w:rPr>
          <w:sz w:val="24"/>
        </w:rPr>
        <w:t xml:space="preserve">  As a result, the Commission should adopt the Comprehensive Settlement Agreement, if the Commission decides to move forward on all of the Commission</w:t>
      </w:r>
      <w:r>
        <w:rPr>
          <w:rFonts w:cs="WP TypographicSymbols" w:ascii="WP TypographicSymbols" w:hAnsi="WP TypographicSymbols"/>
          <w:sz w:val="24"/>
        </w:rPr>
        <w:sym w:font="WP TypographicSymbols" w:char="f03d"/>
      </w:r>
      <w:r>
        <w:rPr>
          <w:sz w:val="24"/>
        </w:rPr>
        <w:t xml:space="preserve">s </w:t>
      </w:r>
      <w:r>
        <w:rPr>
          <w:rFonts w:cs="WP TypographicSymbols" w:ascii="WP TypographicSymbols" w:hAnsi="WP TypographicSymbols"/>
          <w:sz w:val="24"/>
        </w:rPr>
        <w:sym w:font="WP TypographicSymbols" w:char="f041"/>
      </w:r>
      <w:r>
        <w:rPr>
          <w:sz w:val="24"/>
        </w:rPr>
        <w:t>most promising options,</w:t>
      </w:r>
      <w:r>
        <w:rPr>
          <w:rFonts w:cs="WP TypographicSymbols" w:ascii="WP TypographicSymbols" w:hAnsi="WP TypographicSymbols"/>
          <w:sz w:val="24"/>
        </w:rPr>
        <w:sym w:font="WP TypographicSymbols" w:char="f040"/>
      </w:r>
      <w:r>
        <w:rPr>
          <w:sz w:val="24"/>
        </w:rPr>
        <w:t xml:space="preserve"> including unbundling intrastate transmission.  The Comprehensive Settlement Agreement enjoys broad support from the full range of stakeholder interests in the southern California gas market.</w:t>
      </w:r>
    </w:p>
    <w:p>
      <w:pPr>
        <w:pStyle w:val="Normal"/>
        <w:rPr>
          <w:sz w:val="24"/>
        </w:rPr>
      </w:pPr>
      <w:r>
        <w:rPr>
          <w:sz w:val="24"/>
        </w:rPr>
      </w:r>
    </w:p>
    <w:p>
      <w:pPr>
        <w:pStyle w:val="Normal"/>
        <w:tabs>
          <w:tab w:val="clear" w:pos="720"/>
          <w:tab w:val="left" w:pos="-1440" w:leader="none"/>
        </w:tabs>
        <w:ind w:hanging="720" w:start="720" w:end="0"/>
        <w:rPr>
          <w:sz w:val="24"/>
        </w:rPr>
      </w:pPr>
      <w:r>
        <w:rPr>
          <w:b/>
          <w:bCs/>
          <w:sz w:val="24"/>
        </w:rPr>
        <w:t>II.</w:t>
        <w:tab/>
        <w:t>SCGC / TURN EXAGGERATE THE DIFFERENCES BETWEEN THE PG&amp;E AND SOCALGAS SYSTEMS.</w:t>
      </w:r>
    </w:p>
    <w:p>
      <w:pPr>
        <w:pStyle w:val="Normal"/>
        <w:rPr>
          <w:sz w:val="24"/>
        </w:rPr>
      </w:pPr>
      <w:r>
        <w:rPr>
          <w:sz w:val="24"/>
        </w:rPr>
      </w:r>
    </w:p>
    <w:p>
      <w:pPr>
        <w:pStyle w:val="Normal"/>
        <w:ind w:firstLine="720" w:end="0"/>
        <w:rPr/>
      </w:pPr>
      <w:r>
        <w:rPr>
          <w:sz w:val="24"/>
        </w:rPr>
        <w:t xml:space="preserve">In D. 99-07-015, the Commission identified the creation of a system of firm, tradeable intrastate transmission rights as one of its </w:t>
      </w:r>
      <w:r>
        <w:rPr>
          <w:rFonts w:cs="WP TypographicSymbols" w:ascii="WP TypographicSymbols" w:hAnsi="WP TypographicSymbols"/>
          <w:sz w:val="24"/>
        </w:rPr>
        <w:sym w:font="WP TypographicSymbols" w:char="f041"/>
      </w:r>
      <w:r>
        <w:rPr>
          <w:sz w:val="24"/>
        </w:rPr>
        <w:t>most promising options</w:t>
      </w:r>
      <w:r>
        <w:rPr>
          <w:rFonts w:cs="WP TypographicSymbols" w:ascii="WP TypographicSymbols" w:hAnsi="WP TypographicSymbols"/>
          <w:sz w:val="24"/>
        </w:rPr>
        <w:sym w:font="WP TypographicSymbols" w:char="f040"/>
      </w:r>
      <w:r>
        <w:rPr>
          <w:sz w:val="24"/>
        </w:rPr>
        <w:t xml:space="preserve"> for the further restructuring of the SoCalGas system.  A significant element in that determination was the Commission</w:t>
      </w:r>
      <w:r>
        <w:rPr>
          <w:rFonts w:cs="WP TypographicSymbols" w:ascii="WP TypographicSymbols" w:hAnsi="WP TypographicSymbols"/>
          <w:sz w:val="24"/>
        </w:rPr>
        <w:sym w:font="WP TypographicSymbols" w:char="f03d"/>
      </w:r>
      <w:r>
        <w:rPr>
          <w:sz w:val="24"/>
        </w:rPr>
        <w:t>s desire to follow the model of the PG&amp;E Gas Accord, and thus to encourage statewide consistency in its gas restructuring program.  The SCGC / TURN PISA now asks the Commission to re-consider that finding, and to defer any further unbundling of intrastate transmission service on the SoCalGas system.  In support of that aspect of the PISA, the witnesses for SCGC / TURN testify (1) that the unbundled transmission system adopted for PG&amp;E under the Gas Accord responded to a unique set of problems that have not been present in southern California, (2) that there are significant structural and operational differences between the PG&amp;E and SoCalGas systems, and (3) that the Gas Accord structure has not benefitted end-use customers in northern California.</w:t>
      </w:r>
    </w:p>
    <w:p>
      <w:pPr>
        <w:pStyle w:val="Normal"/>
        <w:rPr>
          <w:sz w:val="24"/>
        </w:rPr>
      </w:pPr>
      <w:r>
        <w:rPr>
          <w:sz w:val="24"/>
        </w:rPr>
      </w:r>
    </w:p>
    <w:p>
      <w:pPr>
        <w:pStyle w:val="Normal"/>
        <w:tabs>
          <w:tab w:val="clear" w:pos="720"/>
          <w:tab w:val="left" w:pos="-1440" w:leader="none"/>
        </w:tabs>
        <w:ind w:hanging="720" w:start="1440" w:end="0"/>
        <w:rPr>
          <w:b/>
          <w:bCs/>
          <w:sz w:val="24"/>
        </w:rPr>
      </w:pPr>
      <w:r>
        <w:rPr>
          <w:b/>
          <w:bCs/>
          <w:sz w:val="24"/>
        </w:rPr>
        <w:t>A.</w:t>
        <w:tab/>
        <w:t>The Commission Should Focus on a Statewide, Consistent Structure for the Gas Utilities Moving Forward, Not on Whether PG&amp;E and SoCalGas Have Had Similar Problems in the Past.</w:t>
      </w:r>
    </w:p>
    <w:p>
      <w:pPr>
        <w:pStyle w:val="Normal"/>
        <w:rPr>
          <w:b/>
          <w:bCs/>
          <w:sz w:val="24"/>
        </w:rPr>
      </w:pPr>
      <w:r>
        <w:rPr>
          <w:b/>
          <w:bCs/>
          <w:sz w:val="24"/>
        </w:rPr>
      </w:r>
    </w:p>
    <w:p>
      <w:pPr>
        <w:pStyle w:val="Normal"/>
        <w:ind w:firstLine="720" w:end="0"/>
        <w:rPr/>
      </w:pPr>
      <w:r>
        <w:rPr>
          <w:sz w:val="24"/>
        </w:rPr>
        <w:t>SCGC / TURN witness Mr. Florio describes at length the problems that led to the adoption on transmission unbundling for PG&amp;E in the Gas Accord settlement.  He views PG&amp;E</w:t>
      </w:r>
      <w:r>
        <w:rPr>
          <w:rFonts w:cs="WP TypographicSymbols" w:ascii="WP TypographicSymbols" w:hAnsi="WP TypographicSymbols"/>
          <w:sz w:val="24"/>
        </w:rPr>
        <w:sym w:font="WP TypographicSymbols" w:char="f03d"/>
      </w:r>
      <w:r>
        <w:rPr>
          <w:sz w:val="24"/>
        </w:rPr>
        <w:t xml:space="preserve">s difficulties as far more extensive than those that SoCalGas now faces, thus justifying more </w:t>
      </w:r>
      <w:r>
        <w:rPr>
          <w:rFonts w:cs="WP TypographicSymbols" w:ascii="WP TypographicSymbols" w:hAnsi="WP TypographicSymbols"/>
          <w:sz w:val="24"/>
        </w:rPr>
        <w:sym w:font="WP TypographicSymbols" w:char="f041"/>
      </w:r>
      <w:r>
        <w:rPr>
          <w:sz w:val="24"/>
        </w:rPr>
        <w:t>extreme measures</w:t>
      </w:r>
      <w:r>
        <w:rPr>
          <w:rFonts w:cs="WP TypographicSymbols" w:ascii="WP TypographicSymbols" w:hAnsi="WP TypographicSymbols"/>
          <w:sz w:val="24"/>
        </w:rPr>
        <w:sym w:font="WP TypographicSymbols" w:char="f040"/>
      </w:r>
      <w:r>
        <w:rPr>
          <w:sz w:val="24"/>
        </w:rPr>
        <w:t xml:space="preserve"> such as the unbundling of intrastate transmission.</w:t>
      </w:r>
    </w:p>
    <w:p>
      <w:pPr>
        <w:pStyle w:val="Normal"/>
        <w:rPr>
          <w:sz w:val="24"/>
        </w:rPr>
      </w:pPr>
      <w:r>
        <w:rPr>
          <w:sz w:val="24"/>
        </w:rPr>
      </w:r>
    </w:p>
    <w:p>
      <w:pPr>
        <w:pStyle w:val="Normal"/>
        <w:ind w:firstLine="720" w:end="0"/>
        <w:rPr/>
      </w:pPr>
      <w:r>
        <w:rPr>
          <w:sz w:val="24"/>
        </w:rPr>
        <w:t>In my view, both PG&amp;E and SoCalGas have faced the same types of problems, even if the economic distortions on the PG&amp;E system have been greater.  On both systems, shippers have not had a system of firm capacity rights, allocated by non-discriminatory, open access procedures, to govern who had access to what receipt point.  On the PG&amp;E system, the attempt to discriminate against PGT Expansion volumes using PG&amp;E</w:t>
      </w:r>
      <w:r>
        <w:rPr>
          <w:rFonts w:cs="WP TypographicSymbols" w:ascii="WP TypographicSymbols" w:hAnsi="WP TypographicSymbols"/>
          <w:sz w:val="24"/>
        </w:rPr>
        <w:sym w:font="WP TypographicSymbols" w:char="f03d"/>
      </w:r>
      <w:r>
        <w:rPr>
          <w:sz w:val="24"/>
        </w:rPr>
        <w:t xml:space="preserve">s Line 400 resulted in the </w:t>
      </w:r>
      <w:r>
        <w:rPr>
          <w:rFonts w:cs="WP TypographicSymbols" w:ascii="WP TypographicSymbols" w:hAnsi="WP TypographicSymbols"/>
          <w:sz w:val="24"/>
        </w:rPr>
        <w:sym w:font="WP TypographicSymbols" w:char="f041"/>
      </w:r>
      <w:r>
        <w:rPr>
          <w:sz w:val="24"/>
        </w:rPr>
        <w:t>crossover</w:t>
      </w:r>
      <w:r>
        <w:rPr>
          <w:rFonts w:cs="WP TypographicSymbols" w:ascii="WP TypographicSymbols" w:hAnsi="WP TypographicSymbols"/>
          <w:sz w:val="24"/>
        </w:rPr>
        <w:sym w:font="WP TypographicSymbols" w:char="f040"/>
      </w:r>
      <w:r>
        <w:rPr>
          <w:sz w:val="24"/>
        </w:rPr>
        <w:t xml:space="preserve"> problems at Malin.  Similarly, SoCalGas</w:t>
      </w:r>
      <w:r>
        <w:rPr>
          <w:rFonts w:cs="WP TypographicSymbols" w:ascii="WP TypographicSymbols" w:hAnsi="WP TypographicSymbols"/>
          <w:sz w:val="24"/>
        </w:rPr>
        <w:sym w:font="WP TypographicSymbols" w:char="f03d"/>
      </w:r>
      <w:r>
        <w:rPr>
          <w:sz w:val="24"/>
        </w:rPr>
        <w:t xml:space="preserve"> </w:t>
      </w:r>
      <w:r>
        <w:rPr>
          <w:rFonts w:cs="WP TypographicSymbols" w:ascii="WP TypographicSymbols" w:hAnsi="WP TypographicSymbols"/>
          <w:sz w:val="24"/>
        </w:rPr>
        <w:sym w:font="WP TypographicSymbols" w:char="f041"/>
      </w:r>
      <w:r>
        <w:rPr>
          <w:sz w:val="24"/>
        </w:rPr>
        <w:t>windowing</w:t>
      </w:r>
      <w:r>
        <w:rPr>
          <w:rFonts w:cs="WP TypographicSymbols" w:ascii="WP TypographicSymbols" w:hAnsi="WP TypographicSymbols"/>
          <w:sz w:val="24"/>
        </w:rPr>
        <w:sym w:font="WP TypographicSymbols" w:char="f040"/>
      </w:r>
      <w:r>
        <w:rPr>
          <w:sz w:val="24"/>
        </w:rPr>
        <w:t xml:space="preserve"> procedures have not provided firm, non-discriminatory access at SoCalGas</w:t>
      </w:r>
      <w:r>
        <w:rPr>
          <w:rFonts w:cs="WP TypographicSymbols" w:ascii="WP TypographicSymbols" w:hAnsi="WP TypographicSymbols"/>
          <w:sz w:val="24"/>
        </w:rPr>
        <w:sym w:font="WP TypographicSymbols" w:char="f03d"/>
      </w:r>
      <w:r>
        <w:rPr>
          <w:sz w:val="24"/>
        </w:rPr>
        <w:t xml:space="preserve"> receipt points.  As the Commission found in D. 99-07-015, at page 13, </w:t>
      </w:r>
      <w:r>
        <w:rPr>
          <w:rFonts w:cs="WP TypographicSymbols" w:ascii="WP TypographicSymbols" w:hAnsi="WP TypographicSymbols"/>
          <w:sz w:val="24"/>
        </w:rPr>
        <w:sym w:font="WP TypographicSymbols" w:char="f041"/>
      </w:r>
      <w:r>
        <w:rPr>
          <w:sz w:val="24"/>
        </w:rPr>
        <w:t>windowing</w:t>
      </w:r>
      <w:r>
        <w:rPr>
          <w:rFonts w:cs="WP TypographicSymbols" w:ascii="WP TypographicSymbols" w:hAnsi="WP TypographicSymbols"/>
          <w:sz w:val="24"/>
        </w:rPr>
        <w:sym w:font="WP TypographicSymbols" w:char="f040"/>
      </w:r>
      <w:r>
        <w:rPr>
          <w:sz w:val="24"/>
        </w:rPr>
        <w:t xml:space="preserve"> has restricted the access of competitive gas supplies to receipt points such as Wheeler Ridge, just as the </w:t>
      </w:r>
      <w:r>
        <w:rPr>
          <w:rFonts w:cs="WP TypographicSymbols" w:ascii="WP TypographicSymbols" w:hAnsi="WP TypographicSymbols"/>
          <w:sz w:val="24"/>
        </w:rPr>
        <w:sym w:font="WP TypographicSymbols" w:char="f041"/>
      </w:r>
      <w:r>
        <w:rPr>
          <w:sz w:val="24"/>
        </w:rPr>
        <w:t>crossover ban</w:t>
      </w:r>
      <w:r>
        <w:rPr>
          <w:rFonts w:cs="WP TypographicSymbols" w:ascii="WP TypographicSymbols" w:hAnsi="WP TypographicSymbols"/>
          <w:sz w:val="24"/>
        </w:rPr>
        <w:sym w:font="WP TypographicSymbols" w:char="f040"/>
      </w:r>
      <w:r>
        <w:rPr>
          <w:sz w:val="24"/>
        </w:rPr>
        <w:t xml:space="preserve"> limited the competition to sell gas at Malin onto PG&amp;E</w:t>
      </w:r>
      <w:r>
        <w:rPr>
          <w:rFonts w:cs="WP TypographicSymbols" w:ascii="WP TypographicSymbols" w:hAnsi="WP TypographicSymbols"/>
          <w:sz w:val="24"/>
        </w:rPr>
        <w:sym w:font="WP TypographicSymbols" w:char="f03d"/>
      </w:r>
      <w:r>
        <w:rPr>
          <w:sz w:val="24"/>
        </w:rPr>
        <w:t xml:space="preserve">s Line 400.  </w:t>
      </w:r>
    </w:p>
    <w:p>
      <w:pPr>
        <w:pStyle w:val="Normal"/>
        <w:rPr>
          <w:sz w:val="24"/>
        </w:rPr>
      </w:pPr>
      <w:r>
        <w:rPr>
          <w:sz w:val="24"/>
        </w:rPr>
      </w:r>
    </w:p>
    <w:p>
      <w:pPr>
        <w:sectPr>
          <w:footnotePr>
            <w:numFmt w:val="decimal"/>
          </w:footnotePr>
          <w:type w:val="continuous"/>
          <w:pgSz w:w="12240" w:h="15840"/>
          <w:pgMar w:left="1440" w:right="1440" w:gutter="0" w:header="0" w:top="1440" w:footer="1440" w:bottom="1496"/>
          <w:formProt w:val="false"/>
          <w:textDirection w:val="lrTb"/>
          <w:docGrid w:type="default" w:linePitch="360" w:charSpace="0"/>
        </w:sectPr>
      </w:pPr>
    </w:p>
    <w:p>
      <w:pPr>
        <w:pStyle w:val="Normal"/>
        <w:ind w:firstLine="720" w:end="0"/>
        <w:rPr/>
      </w:pPr>
      <w:r>
        <w:rPr>
          <w:sz w:val="24"/>
        </w:rPr>
        <w:t xml:space="preserve">Furthermore, SoCalGas has also faced the same sort of </w:t>
      </w:r>
      <w:r>
        <w:rPr>
          <w:rFonts w:cs="WP TypographicSymbols" w:ascii="WP TypographicSymbols" w:hAnsi="WP TypographicSymbols"/>
          <w:sz w:val="24"/>
        </w:rPr>
        <w:sym w:font="WP TypographicSymbols" w:char="f041"/>
      </w:r>
      <w:r>
        <w:rPr>
          <w:sz w:val="24"/>
        </w:rPr>
        <w:t>conflict of interest</w:t>
      </w:r>
      <w:r>
        <w:rPr>
          <w:rFonts w:cs="WP TypographicSymbols" w:ascii="WP TypographicSymbols" w:hAnsi="WP TypographicSymbols"/>
          <w:sz w:val="24"/>
        </w:rPr>
        <w:sym w:font="WP TypographicSymbols" w:char="f040"/>
      </w:r>
      <w:r>
        <w:rPr>
          <w:sz w:val="24"/>
        </w:rPr>
        <w:t xml:space="preserve"> charges as PG&amp;E.  SoCalGas</w:t>
      </w:r>
      <w:r>
        <w:rPr>
          <w:rFonts w:cs="WP TypographicSymbols" w:ascii="WP TypographicSymbols" w:hAnsi="WP TypographicSymbols"/>
          <w:sz w:val="24"/>
        </w:rPr>
        <w:sym w:font="WP TypographicSymbols" w:char="f03d"/>
      </w:r>
      <w:r>
        <w:rPr>
          <w:sz w:val="24"/>
        </w:rPr>
        <w:t xml:space="preserve"> core procurement department has been criticized for monopolizing the Hector Road receipt point, to the benefit of SoCalGas</w:t>
      </w:r>
      <w:r>
        <w:rPr>
          <w:rFonts w:cs="WP TypographicSymbols" w:ascii="WP TypographicSymbols" w:hAnsi="WP TypographicSymbols"/>
          <w:sz w:val="24"/>
        </w:rPr>
        <w:sym w:font="WP TypographicSymbols" w:char="f03d"/>
      </w:r>
      <w:r>
        <w:rPr>
          <w:sz w:val="24"/>
        </w:rPr>
        <w:t xml:space="preserve"> shareholders through the Gas Cost Incentive Mechanism (GCIM). </w:t>
      </w:r>
      <w:r>
        <w:rPr>
          <w:b/>
          <w:bCs/>
          <w:sz w:val="24"/>
        </w:rPr>
        <w:t xml:space="preserve"> </w:t>
      </w:r>
      <w:r>
        <w:rPr>
          <w:i/>
          <w:iCs/>
          <w:sz w:val="24"/>
        </w:rPr>
        <w:t xml:space="preserve">See </w:t>
      </w:r>
      <w:r>
        <w:rPr>
          <w:sz w:val="24"/>
        </w:rPr>
        <w:t>D. 99-07-015, at 17 - 18.</w:t>
      </w:r>
    </w:p>
    <w:p>
      <w:pPr>
        <w:pStyle w:val="Normal"/>
        <w:rPr>
          <w:sz w:val="24"/>
        </w:rPr>
      </w:pPr>
      <w:r>
        <w:rPr>
          <w:sz w:val="24"/>
        </w:rPr>
      </w:r>
    </w:p>
    <w:p>
      <w:pPr>
        <w:pStyle w:val="Normal"/>
        <w:ind w:firstLine="720" w:end="0"/>
        <w:rPr/>
      </w:pPr>
      <w:r>
        <w:rPr>
          <w:sz w:val="24"/>
        </w:rPr>
        <w:t>However, the Commission should not decide the future structure for California</w:t>
      </w:r>
      <w:r>
        <w:rPr>
          <w:rFonts w:cs="WP TypographicSymbols" w:ascii="WP TypographicSymbols" w:hAnsi="WP TypographicSymbols"/>
          <w:sz w:val="24"/>
        </w:rPr>
        <w:sym w:font="WP TypographicSymbols" w:char="f03d"/>
      </w:r>
      <w:r>
        <w:rPr>
          <w:sz w:val="24"/>
        </w:rPr>
        <w:t>s gas industry on the basis of whether SoCalGas</w:t>
      </w:r>
      <w:r>
        <w:rPr>
          <w:rFonts w:cs="WP TypographicSymbols" w:ascii="WP TypographicSymbols" w:hAnsi="WP TypographicSymbols"/>
          <w:sz w:val="24"/>
        </w:rPr>
        <w:sym w:font="WP TypographicSymbols" w:char="f03d"/>
      </w:r>
      <w:r>
        <w:rPr>
          <w:sz w:val="24"/>
        </w:rPr>
        <w:t xml:space="preserve"> past problems have resembled PG&amp;E</w:t>
      </w:r>
      <w:r>
        <w:rPr>
          <w:rFonts w:cs="WP TypographicSymbols" w:ascii="WP TypographicSymbols" w:hAnsi="WP TypographicSymbols"/>
          <w:sz w:val="24"/>
        </w:rPr>
        <w:sym w:font="WP TypographicSymbols" w:char="f03d"/>
      </w:r>
      <w:r>
        <w:rPr>
          <w:sz w:val="24"/>
        </w:rPr>
        <w:t>s past difficulties. What is important is that the structures that the Commission adopts in both parts of the state should solve these problems and should be consistent on a statewide basis.  The new electric market is a statewide market.  There are already at least two merchant electric generators (Dynegy and Duke) and a number of QF projects under common ownership, that operate in more than one gas utility service territory, as well as another merchant plant developer (Calpine) that has made no secret of its intent to operate plants statewide.  This trend promises to increase competition in the electric market.  To encourage this trend, the Commission should focus on carrying through on D. 99-07-015's promise to increase the statewide consistency of its gas restructuring program.  The unbundling of intrastate transmission was a key element of the PG&amp;E Gas Accord, and should be a foundation of the further restructuring of the SoCalGas system, as well.</w:t>
      </w:r>
      <w:r>
        <w:rPr>
          <w:b/>
          <w:bCs/>
          <w:sz w:val="24"/>
        </w:rPr>
        <w:t xml:space="preserve"> </w:t>
      </w:r>
    </w:p>
    <w:p>
      <w:pPr>
        <w:pStyle w:val="Normal"/>
        <w:rPr>
          <w:b/>
          <w:bCs/>
          <w:sz w:val="24"/>
        </w:rPr>
      </w:pPr>
      <w:r>
        <w:rPr>
          <w:b/>
          <w:bCs/>
          <w:sz w:val="24"/>
        </w:rPr>
      </w:r>
    </w:p>
    <w:p>
      <w:pPr>
        <w:pStyle w:val="Normal"/>
        <w:tabs>
          <w:tab w:val="clear" w:pos="720"/>
          <w:tab w:val="left" w:pos="-1440" w:leader="none"/>
        </w:tabs>
        <w:ind w:hanging="720" w:start="1440" w:end="0"/>
        <w:rPr/>
      </w:pPr>
      <w:r>
        <w:rPr>
          <w:b/>
          <w:bCs/>
          <w:sz w:val="24"/>
        </w:rPr>
        <w:t>B.</w:t>
        <w:tab/>
        <w:t>SoCalGas</w:t>
      </w:r>
      <w:r>
        <w:rPr>
          <w:rFonts w:cs="WP TypographicSymbols" w:ascii="WP TypographicSymbols" w:hAnsi="WP TypographicSymbols"/>
          <w:b/>
          <w:bCs/>
          <w:sz w:val="24"/>
        </w:rPr>
        <w:sym w:font="WP TypographicSymbols" w:char="f03d"/>
      </w:r>
      <w:r>
        <w:rPr>
          <w:b/>
          <w:bCs/>
          <w:sz w:val="24"/>
        </w:rPr>
        <w:t xml:space="preserve"> Backbone System Serves the Same Function as PG&amp;E</w:t>
      </w:r>
      <w:r>
        <w:rPr>
          <w:rFonts w:cs="WP TypographicSymbols" w:ascii="WP TypographicSymbols" w:hAnsi="WP TypographicSymbols"/>
          <w:b/>
          <w:bCs/>
          <w:sz w:val="24"/>
        </w:rPr>
        <w:sym w:font="WP TypographicSymbols" w:char="f03d"/>
      </w:r>
      <w:r>
        <w:rPr>
          <w:b/>
          <w:bCs/>
          <w:sz w:val="24"/>
        </w:rPr>
        <w:t>s, and Can Be Unbundled in a Manner Similar to the PG&amp;E Gas Accord.</w:t>
      </w:r>
    </w:p>
    <w:p>
      <w:pPr>
        <w:pStyle w:val="Normal"/>
        <w:rPr>
          <w:b/>
          <w:bCs/>
          <w:sz w:val="24"/>
        </w:rPr>
      </w:pPr>
      <w:r>
        <w:rPr>
          <w:b/>
          <w:bCs/>
          <w:sz w:val="24"/>
        </w:rPr>
      </w:r>
    </w:p>
    <w:p>
      <w:pPr>
        <w:pStyle w:val="Normal"/>
        <w:ind w:firstLine="720" w:end="0"/>
        <w:rPr/>
      </w:pPr>
      <w:r>
        <w:rPr>
          <w:sz w:val="24"/>
        </w:rPr>
        <w:t xml:space="preserve">Mr. Florio claims that the </w:t>
      </w:r>
      <w:r>
        <w:rPr>
          <w:rFonts w:cs="WP TypographicSymbols" w:ascii="WP TypographicSymbols" w:hAnsi="WP TypographicSymbols"/>
          <w:sz w:val="24"/>
        </w:rPr>
        <w:sym w:font="WP TypographicSymbols" w:char="f041"/>
      </w:r>
      <w:r>
        <w:rPr>
          <w:sz w:val="24"/>
        </w:rPr>
        <w:t>network</w:t>
      </w:r>
      <w:r>
        <w:rPr>
          <w:rFonts w:cs="WP TypographicSymbols" w:ascii="WP TypographicSymbols" w:hAnsi="WP TypographicSymbols"/>
          <w:sz w:val="24"/>
        </w:rPr>
        <w:sym w:font="WP TypographicSymbols" w:char="f040"/>
      </w:r>
      <w:r>
        <w:rPr>
          <w:sz w:val="24"/>
        </w:rPr>
        <w:t xml:space="preserve"> nature of the SoCalGas system argues against following the Gas Accord model for unbundling backbone transmission service for SoCalGas.  Yet Mr. Florio does concede that SoCalGas</w:t>
      </w:r>
      <w:r>
        <w:rPr>
          <w:rFonts w:cs="WP TypographicSymbols" w:ascii="WP TypographicSymbols" w:hAnsi="WP TypographicSymbols"/>
          <w:sz w:val="24"/>
        </w:rPr>
        <w:sym w:font="WP TypographicSymbols" w:char="f03d"/>
      </w:r>
      <w:r>
        <w:rPr>
          <w:sz w:val="24"/>
        </w:rPr>
        <w:t xml:space="preserve"> mainline facilities that extend from the Los Angeles Basin to the interstate pipelines on the California / Arizona border do resemble interstate pipelines and PG&amp;E</w:t>
      </w:r>
      <w:r>
        <w:rPr>
          <w:rFonts w:cs="WP TypographicSymbols" w:ascii="WP TypographicSymbols" w:hAnsi="WP TypographicSymbols"/>
          <w:sz w:val="24"/>
        </w:rPr>
        <w:sym w:font="WP TypographicSymbols" w:char="f03d"/>
      </w:r>
      <w:r>
        <w:rPr>
          <w:sz w:val="24"/>
        </w:rPr>
        <w:t xml:space="preserve">s backbone system.  </w:t>
      </w:r>
      <w:r>
        <w:rPr>
          <w:i/>
          <w:iCs/>
          <w:sz w:val="24"/>
        </w:rPr>
        <w:t xml:space="preserve">SCGC / TURN, at page 8, line 29.  </w:t>
      </w:r>
      <w:r>
        <w:rPr>
          <w:sz w:val="24"/>
        </w:rPr>
        <w:t>SoCalGas</w:t>
      </w:r>
      <w:r>
        <w:rPr>
          <w:rFonts w:cs="WP TypographicSymbols" w:ascii="WP TypographicSymbols" w:hAnsi="WP TypographicSymbols"/>
          <w:sz w:val="24"/>
        </w:rPr>
        <w:sym w:font="WP TypographicSymbols" w:char="f03d"/>
      </w:r>
      <w:r>
        <w:rPr>
          <w:sz w:val="24"/>
        </w:rPr>
        <w:t xml:space="preserve"> lines running north from the L.A. Basin to the Wheeler Ridge interconnects also are clearly backbone facilities similar to PG&amp;E</w:t>
      </w:r>
      <w:r>
        <w:rPr>
          <w:rFonts w:cs="WP TypographicSymbols" w:ascii="WP TypographicSymbols" w:hAnsi="WP TypographicSymbols"/>
          <w:sz w:val="24"/>
        </w:rPr>
        <w:sym w:font="WP TypographicSymbols" w:char="f03d"/>
      </w:r>
      <w:r>
        <w:rPr>
          <w:sz w:val="24"/>
        </w:rPr>
        <w:t>s.  With respect to local transmission, SoCalGas</w:t>
      </w:r>
      <w:r>
        <w:rPr>
          <w:rFonts w:cs="WP TypographicSymbols" w:ascii="WP TypographicSymbols" w:hAnsi="WP TypographicSymbols"/>
          <w:sz w:val="24"/>
        </w:rPr>
        <w:sym w:font="WP TypographicSymbols" w:char="f03d"/>
      </w:r>
      <w:r>
        <w:rPr>
          <w:sz w:val="24"/>
        </w:rPr>
        <w:t xml:space="preserve"> network of local transmission lines inside the L.A. Basin is similar to PG&amp;E</w:t>
      </w:r>
      <w:r>
        <w:rPr>
          <w:rFonts w:cs="WP TypographicSymbols" w:ascii="WP TypographicSymbols" w:hAnsi="WP TypographicSymbols"/>
          <w:sz w:val="24"/>
        </w:rPr>
        <w:sym w:font="WP TypographicSymbols" w:char="f03d"/>
      </w:r>
      <w:r>
        <w:rPr>
          <w:sz w:val="24"/>
        </w:rPr>
        <w:t xml:space="preserve">s network of local transmission lines in its load centers in the Bay Area and Central Valley.  Indeed, both the PG&amp;E and SoCalGas systems can be considered to be </w:t>
      </w:r>
      <w:r>
        <w:rPr>
          <w:rFonts w:cs="WP TypographicSymbols" w:ascii="WP TypographicSymbols" w:hAnsi="WP TypographicSymbols"/>
          <w:sz w:val="24"/>
        </w:rPr>
        <w:sym w:font="WP TypographicSymbols" w:char="f041"/>
      </w:r>
      <w:r>
        <w:rPr>
          <w:sz w:val="24"/>
        </w:rPr>
        <w:t>spokes</w:t>
      </w:r>
      <w:r>
        <w:rPr>
          <w:rFonts w:cs="WP TypographicSymbols" w:ascii="WP TypographicSymbols" w:hAnsi="WP TypographicSymbols"/>
          <w:sz w:val="24"/>
        </w:rPr>
        <w:sym w:font="WP TypographicSymbols" w:char="f040"/>
      </w:r>
      <w:r>
        <w:rPr>
          <w:sz w:val="24"/>
        </w:rPr>
        <w:t xml:space="preserve"> of backbone lines transporting gas from the interstate pipelines to  </w:t>
      </w:r>
      <w:r>
        <w:rPr>
          <w:rFonts w:cs="WP TypographicSymbols" w:ascii="WP TypographicSymbols" w:hAnsi="WP TypographicSymbols"/>
          <w:sz w:val="24"/>
        </w:rPr>
        <w:sym w:font="WP TypographicSymbols" w:char="f041"/>
      </w:r>
      <w:r>
        <w:rPr>
          <w:sz w:val="24"/>
        </w:rPr>
        <w:t>hubs</w:t>
      </w:r>
      <w:r>
        <w:rPr>
          <w:rFonts w:cs="WP TypographicSymbols" w:ascii="WP TypographicSymbols" w:hAnsi="WP TypographicSymbols"/>
          <w:sz w:val="24"/>
        </w:rPr>
        <w:sym w:font="WP TypographicSymbols" w:char="f040"/>
      </w:r>
      <w:r>
        <w:rPr>
          <w:sz w:val="24"/>
        </w:rPr>
        <w:t xml:space="preserve"> of networked local transmission facilities. the two systems differ in the length and number of the </w:t>
      </w:r>
      <w:r>
        <w:rPr>
          <w:rFonts w:cs="WP TypographicSymbols" w:ascii="WP TypographicSymbols" w:hAnsi="WP TypographicSymbols"/>
          <w:sz w:val="24"/>
        </w:rPr>
        <w:sym w:font="WP TypographicSymbols" w:char="f041"/>
      </w:r>
      <w:r>
        <w:rPr>
          <w:sz w:val="24"/>
        </w:rPr>
        <w:t>spokes</w:t>
      </w:r>
      <w:r>
        <w:rPr>
          <w:rFonts w:cs="WP TypographicSymbols" w:ascii="WP TypographicSymbols" w:hAnsi="WP TypographicSymbols"/>
          <w:sz w:val="24"/>
        </w:rPr>
        <w:sym w:font="WP TypographicSymbols" w:char="f040"/>
      </w:r>
      <w:r>
        <w:rPr>
          <w:sz w:val="24"/>
        </w:rPr>
        <w:t xml:space="preserve"> (SoCalGas</w:t>
      </w:r>
      <w:r>
        <w:rPr>
          <w:rFonts w:cs="WP TypographicSymbols" w:ascii="WP TypographicSymbols" w:hAnsi="WP TypographicSymbols"/>
          <w:sz w:val="24"/>
        </w:rPr>
        <w:sym w:font="WP TypographicSymbols" w:char="f03d"/>
      </w:r>
      <w:r>
        <w:rPr>
          <w:sz w:val="24"/>
        </w:rPr>
        <w:t xml:space="preserve"> are shorter and more numerous), but operationally these components serve the same function.  In my view, there is just as strong an operational basis for unbundling SoCalGas</w:t>
      </w:r>
      <w:r>
        <w:rPr>
          <w:rFonts w:cs="WP TypographicSymbols" w:ascii="WP TypographicSymbols" w:hAnsi="WP TypographicSymbols"/>
          <w:sz w:val="24"/>
        </w:rPr>
        <w:sym w:font="WP TypographicSymbols" w:char="f03d"/>
      </w:r>
      <w:r>
        <w:rPr>
          <w:sz w:val="24"/>
        </w:rPr>
        <w:t xml:space="preserve"> backbone and local transmission facilities and services as there was for unbundling PG&amp;E</w:t>
      </w:r>
      <w:r>
        <w:rPr>
          <w:rFonts w:cs="WP TypographicSymbols" w:ascii="WP TypographicSymbols" w:hAnsi="WP TypographicSymbols"/>
          <w:sz w:val="24"/>
        </w:rPr>
        <w:sym w:font="WP TypographicSymbols" w:char="f03d"/>
      </w:r>
      <w:r>
        <w:rPr>
          <w:sz w:val="24"/>
        </w:rPr>
        <w:t>s.</w:t>
      </w:r>
    </w:p>
    <w:p>
      <w:pPr>
        <w:pStyle w:val="Normal"/>
        <w:rPr>
          <w:sz w:val="24"/>
        </w:rPr>
      </w:pPr>
      <w:r>
        <w:rPr>
          <w:sz w:val="24"/>
        </w:rPr>
      </w:r>
    </w:p>
    <w:p>
      <w:pPr>
        <w:pStyle w:val="Normal"/>
        <w:tabs>
          <w:tab w:val="clear" w:pos="720"/>
          <w:tab w:val="left" w:pos="-1440" w:leader="none"/>
        </w:tabs>
        <w:ind w:hanging="720" w:start="1440" w:end="0"/>
        <w:rPr/>
      </w:pPr>
      <w:r>
        <w:rPr>
          <w:b/>
          <w:bCs/>
          <w:sz w:val="24"/>
        </w:rPr>
        <w:t>C.</w:t>
        <w:tab/>
        <w:t>The Benefits of the Gas Accord</w:t>
      </w:r>
      <w:r>
        <w:rPr>
          <w:rFonts w:cs="WP TypographicSymbols" w:ascii="WP TypographicSymbols" w:hAnsi="WP TypographicSymbols"/>
          <w:b/>
          <w:bCs/>
          <w:sz w:val="24"/>
        </w:rPr>
        <w:sym w:font="WP TypographicSymbols" w:char="f03d"/>
      </w:r>
      <w:r>
        <w:rPr>
          <w:b/>
          <w:bCs/>
          <w:sz w:val="24"/>
        </w:rPr>
        <w:t>s City-Gate Market Have Been Substantial for Electric Generators.</w:t>
      </w:r>
    </w:p>
    <w:p>
      <w:pPr>
        <w:pStyle w:val="Normal"/>
        <w:rPr>
          <w:b/>
          <w:bCs/>
          <w:sz w:val="24"/>
        </w:rPr>
      </w:pPr>
      <w:r>
        <w:rPr>
          <w:b/>
          <w:bCs/>
          <w:sz w:val="24"/>
        </w:rPr>
      </w:r>
    </w:p>
    <w:p>
      <w:pPr>
        <w:sectPr>
          <w:footnotePr>
            <w:numFmt w:val="decimal"/>
          </w:footnotePr>
          <w:type w:val="continuous"/>
          <w:pgSz w:w="12240" w:h="15840"/>
          <w:pgMar w:left="1440" w:right="1440" w:gutter="0" w:header="0" w:top="1440" w:footer="1440" w:bottom="1496"/>
          <w:formProt w:val="false"/>
          <w:textDirection w:val="lrTb"/>
          <w:docGrid w:type="default" w:linePitch="360" w:charSpace="0"/>
        </w:sectPr>
      </w:pPr>
    </w:p>
    <w:p>
      <w:pPr>
        <w:pStyle w:val="Normal"/>
        <w:ind w:firstLine="720" w:end="0"/>
        <w:rPr/>
      </w:pPr>
      <w:r>
        <w:rPr>
          <w:sz w:val="24"/>
        </w:rPr>
        <w:t xml:space="preserve">Mr. Weil downplays the benefits that the Gas Accord has produced through competition among suppliers in the PG&amp;E city-gate market.  First, he appears to cite the existing data as showing </w:t>
      </w:r>
      <w:r>
        <w:rPr>
          <w:rFonts w:cs="WP TypographicSymbols" w:ascii="WP TypographicSymbols" w:hAnsi="WP TypographicSymbols"/>
          <w:sz w:val="24"/>
        </w:rPr>
        <w:sym w:font="WP TypographicSymbols" w:char="f041"/>
      </w:r>
      <w:r>
        <w:rPr>
          <w:sz w:val="24"/>
        </w:rPr>
        <w:t>average benefits of around 2 cents or more per MMcf/d.</w:t>
      </w:r>
      <w:r>
        <w:rPr>
          <w:rFonts w:cs="WP TypographicSymbols" w:ascii="WP TypographicSymbols" w:hAnsi="WP TypographicSymbols"/>
          <w:sz w:val="24"/>
        </w:rPr>
        <w:sym w:font="WP TypographicSymbols" w:char="f040"/>
      </w:r>
      <w:r>
        <w:rPr>
          <w:sz w:val="24"/>
        </w:rPr>
        <w:t xml:space="preserve">   </w:t>
      </w:r>
      <w:r>
        <w:rPr>
          <w:i/>
          <w:iCs/>
          <w:sz w:val="24"/>
        </w:rPr>
        <w:t xml:space="preserve">SCGC / TURN, at page 12, lines 5-6.  </w:t>
      </w:r>
      <w:r>
        <w:rPr>
          <w:sz w:val="24"/>
        </w:rPr>
        <w:t xml:space="preserve">As cited in my direct testimony, the actual benefits have been more than 2 cents per mmcf/d, from $0.03 to $0.08 per Dth.  Mr. Weil opines that such savings are not significant for core customers.  </w:t>
      </w:r>
      <w:r>
        <w:rPr>
          <w:i/>
          <w:iCs/>
          <w:sz w:val="24"/>
        </w:rPr>
        <w:t xml:space="preserve">Ibid., lines 6-8. </w:t>
      </w:r>
      <w:r>
        <w:rPr>
          <w:sz w:val="24"/>
        </w:rPr>
        <w:t xml:space="preserve">Regardless of whether one agrees with him, such competitive reductions in transportation costs are very important for electric generators, whose total transportation rate is likely to be roughly $0.35 per Dth, and who, as Ms. Yap states, </w:t>
      </w:r>
      <w:r>
        <w:rPr>
          <w:rFonts w:cs="WP TypographicSymbols" w:ascii="WP TypographicSymbols" w:hAnsi="WP TypographicSymbols"/>
          <w:sz w:val="24"/>
        </w:rPr>
        <w:sym w:font="WP TypographicSymbols" w:char="f041"/>
      </w:r>
      <w:r>
        <w:rPr>
          <w:sz w:val="24"/>
        </w:rPr>
        <w:t>sell into a highly competitive PX market.</w:t>
      </w:r>
      <w:r>
        <w:rPr>
          <w:rFonts w:cs="WP TypographicSymbols" w:ascii="WP TypographicSymbols" w:hAnsi="WP TypographicSymbols"/>
          <w:sz w:val="24"/>
        </w:rPr>
        <w:sym w:font="WP TypographicSymbols" w:char="f040"/>
      </w:r>
      <w:r>
        <w:rPr>
          <w:sz w:val="24"/>
        </w:rPr>
        <w:t xml:space="preserve">  </w:t>
      </w:r>
      <w:r>
        <w:rPr>
          <w:i/>
          <w:iCs/>
          <w:sz w:val="24"/>
        </w:rPr>
        <w:t xml:space="preserve">SCGC / TURN, at page 20, line 20.  </w:t>
      </w:r>
      <w:r>
        <w:rPr>
          <w:sz w:val="24"/>
        </w:rPr>
        <w:t>For an electric generator, a 10 to 20% reduction in gas transportation charges is well worth pursuing, as shown by SCGC</w:t>
      </w:r>
      <w:r>
        <w:rPr>
          <w:rFonts w:cs="WP TypographicSymbols" w:ascii="WP TypographicSymbols" w:hAnsi="WP TypographicSymbols"/>
          <w:sz w:val="24"/>
        </w:rPr>
        <w:sym w:font="WP TypographicSymbols" w:char="f03d"/>
      </w:r>
      <w:r>
        <w:rPr>
          <w:sz w:val="24"/>
        </w:rPr>
        <w:t>s active participation on SoCalGas BCAP issues that would lower SoCalGas</w:t>
      </w:r>
      <w:r>
        <w:rPr>
          <w:rFonts w:cs="WP TypographicSymbols" w:ascii="WP TypographicSymbols" w:hAnsi="WP TypographicSymbols"/>
          <w:sz w:val="24"/>
        </w:rPr>
        <w:sym w:font="WP TypographicSymbols" w:char="f03d"/>
      </w:r>
      <w:r>
        <w:rPr>
          <w:sz w:val="24"/>
        </w:rPr>
        <w:t xml:space="preserve"> EG rates by far smaller amounts.</w:t>
      </w:r>
    </w:p>
    <w:p>
      <w:pPr>
        <w:pStyle w:val="Normal"/>
        <w:rPr>
          <w:sz w:val="24"/>
        </w:rPr>
      </w:pPr>
      <w:r>
        <w:rPr>
          <w:sz w:val="24"/>
        </w:rPr>
      </w:r>
    </w:p>
    <w:p>
      <w:pPr>
        <w:pStyle w:val="Normal"/>
        <w:tabs>
          <w:tab w:val="clear" w:pos="720"/>
          <w:tab w:val="left" w:pos="-1440" w:leader="none"/>
        </w:tabs>
        <w:ind w:hanging="720" w:start="1440" w:end="0"/>
        <w:rPr>
          <w:b/>
          <w:bCs/>
          <w:sz w:val="24"/>
        </w:rPr>
      </w:pPr>
      <w:r>
        <w:rPr>
          <w:b/>
          <w:bCs/>
          <w:sz w:val="24"/>
        </w:rPr>
        <w:t>D.</w:t>
        <w:tab/>
        <w:t>Customers Have Not Had to Hold Capacity or Pay Demand Charges to Realize These Benefits.</w:t>
      </w:r>
    </w:p>
    <w:p>
      <w:pPr>
        <w:pStyle w:val="Normal"/>
        <w:rPr>
          <w:b/>
          <w:bCs/>
          <w:sz w:val="24"/>
        </w:rPr>
      </w:pPr>
      <w:r>
        <w:rPr>
          <w:b/>
          <w:bCs/>
          <w:sz w:val="24"/>
        </w:rPr>
      </w:r>
    </w:p>
    <w:p>
      <w:pPr>
        <w:pStyle w:val="Normal"/>
        <w:ind w:firstLine="720" w:end="0"/>
        <w:rPr/>
      </w:pPr>
      <w:r>
        <w:rPr>
          <w:sz w:val="24"/>
        </w:rPr>
        <w:t xml:space="preserve">Mr. Weil also asserts that the fact that relatively few end use customers hold backbone transmission capacity on the PG&amp;E system shows that unbundling under the Gas Accord has not benefitted customers.  He opines that this is due to the high transaction costs associated with holding capacity.  </w:t>
      </w:r>
      <w:r>
        <w:rPr>
          <w:i/>
          <w:iCs/>
          <w:sz w:val="24"/>
        </w:rPr>
        <w:t xml:space="preserve">SCGC / TURN, at page 12, lines 28-29 and page 13, lines 10-12.  </w:t>
      </w:r>
      <w:r>
        <w:rPr>
          <w:sz w:val="24"/>
        </w:rPr>
        <w:t xml:space="preserve">Ms. Yap also describes at length how the transaction costs associated with managing transmission capacity tends to force end users to buy from marketers.  </w:t>
      </w:r>
      <w:r>
        <w:rPr>
          <w:i/>
          <w:iCs/>
          <w:sz w:val="24"/>
        </w:rPr>
        <w:t xml:space="preserve">Ibid., at pages 13 - 16, especially page 16, lines 12-17.  </w:t>
      </w:r>
      <w:r>
        <w:rPr>
          <w:sz w:val="24"/>
        </w:rPr>
        <w:t xml:space="preserve">She concludes that unbundling has been </w:t>
      </w:r>
      <w:r>
        <w:rPr>
          <w:rFonts w:cs="WP TypographicSymbols" w:ascii="WP TypographicSymbols" w:hAnsi="WP TypographicSymbols"/>
          <w:sz w:val="24"/>
        </w:rPr>
        <w:sym w:font="WP TypographicSymbols" w:char="f041"/>
      </w:r>
      <w:r>
        <w:rPr>
          <w:sz w:val="24"/>
        </w:rPr>
        <w:t>great for marketers</w:t>
      </w:r>
      <w:r>
        <w:rPr>
          <w:rFonts w:cs="WP TypographicSymbols" w:ascii="WP TypographicSymbols" w:hAnsi="WP TypographicSymbols"/>
          <w:sz w:val="24"/>
        </w:rPr>
        <w:sym w:font="WP TypographicSymbols" w:char="f040"/>
      </w:r>
      <w:r>
        <w:rPr>
          <w:sz w:val="24"/>
        </w:rPr>
        <w:t xml:space="preserve"> but </w:t>
      </w:r>
      <w:r>
        <w:rPr>
          <w:rFonts w:cs="WP TypographicSymbols" w:ascii="WP TypographicSymbols" w:hAnsi="WP TypographicSymbols"/>
          <w:sz w:val="24"/>
        </w:rPr>
        <w:sym w:font="WP TypographicSymbols" w:char="f041"/>
      </w:r>
      <w:r>
        <w:rPr>
          <w:sz w:val="24"/>
        </w:rPr>
        <w:t>not good for customers.</w:t>
      </w:r>
      <w:r>
        <w:rPr>
          <w:rFonts w:cs="WP TypographicSymbols" w:ascii="WP TypographicSymbols" w:hAnsi="WP TypographicSymbols"/>
          <w:sz w:val="24"/>
        </w:rPr>
        <w:sym w:font="WP TypographicSymbols" w:char="f040"/>
      </w:r>
      <w:r>
        <w:rPr>
          <w:sz w:val="24"/>
        </w:rPr>
        <w:t xml:space="preserve">  </w:t>
      </w:r>
      <w:r>
        <w:rPr>
          <w:i/>
          <w:iCs/>
          <w:sz w:val="24"/>
        </w:rPr>
        <w:t>Ibid., at page 13, lines 23-24.</w:t>
      </w:r>
    </w:p>
    <w:p>
      <w:pPr>
        <w:pStyle w:val="Normal"/>
        <w:rPr>
          <w:i/>
          <w:i/>
          <w:iCs/>
          <w:sz w:val="24"/>
        </w:rPr>
      </w:pPr>
      <w:r>
        <w:rPr>
          <w:i/>
          <w:iCs/>
          <w:sz w:val="24"/>
        </w:rPr>
      </w:r>
    </w:p>
    <w:p>
      <w:pPr>
        <w:pStyle w:val="Normal"/>
        <w:ind w:firstLine="720" w:end="0"/>
        <w:rPr/>
      </w:pPr>
      <w:r>
        <w:rPr>
          <w:sz w:val="24"/>
        </w:rPr>
        <w:t>This testimony ignores the fact that marketers do not exist independent of their customers.  If a marketer</w:t>
      </w:r>
      <w:r>
        <w:rPr>
          <w:rFonts w:cs="WP TypographicSymbols" w:ascii="WP TypographicSymbols" w:hAnsi="WP TypographicSymbols"/>
          <w:sz w:val="24"/>
        </w:rPr>
        <w:sym w:font="WP TypographicSymbols" w:char="f03d"/>
      </w:r>
      <w:r>
        <w:rPr>
          <w:sz w:val="24"/>
        </w:rPr>
        <w:t xml:space="preserve">s services do not add value for the customer, then that marketer will not remain in business for long. Under the Gas Accord, most noncore end users in northern California have been buying gas from marketers in the PG&amp;E city-gate market.  However, the available data on PG&amp;E city-gate gas prices </w:t>
      </w:r>
      <w:r>
        <w:rPr>
          <w:rFonts w:cs="WP TypographicSymbols" w:ascii="WP TypographicSymbols" w:hAnsi="WP TypographicSymbols"/>
          <w:sz w:val="24"/>
        </w:rPr>
        <w:sym w:font="WP TypographicSymbols" w:char="f043"/>
      </w:r>
      <w:r>
        <w:rPr>
          <w:sz w:val="24"/>
        </w:rPr>
        <w:t xml:space="preserve"> discussed above </w:t>
      </w:r>
      <w:r>
        <w:rPr>
          <w:rFonts w:cs="WP TypographicSymbols" w:ascii="WP TypographicSymbols" w:hAnsi="WP TypographicSymbols"/>
          <w:sz w:val="24"/>
        </w:rPr>
        <w:sym w:font="WP TypographicSymbols" w:char="f043"/>
      </w:r>
      <w:r>
        <w:rPr>
          <w:sz w:val="24"/>
        </w:rPr>
        <w:t xml:space="preserve"> show that end users have realized </w:t>
      </w:r>
      <w:r>
        <w:rPr>
          <w:b/>
          <w:bCs/>
          <w:sz w:val="24"/>
        </w:rPr>
        <w:t>significant savings</w:t>
      </w:r>
      <w:r>
        <w:rPr>
          <w:sz w:val="24"/>
        </w:rPr>
        <w:t xml:space="preserve"> from these purchases, compared to the option of buying gas at the California border and managing their own transportation to the city-gate.  These city-gate purchases have involved no demand charge risks and no transaction costs associated with holding capacity.  Competition among marketers has assured that customers benefit from marketers</w:t>
      </w:r>
      <w:r>
        <w:rPr>
          <w:rFonts w:cs="WP TypographicSymbols" w:ascii="WP TypographicSymbols" w:hAnsi="WP TypographicSymbols"/>
          <w:sz w:val="24"/>
        </w:rPr>
        <w:sym w:font="WP TypographicSymbols" w:char="f03d"/>
      </w:r>
      <w:r>
        <w:rPr>
          <w:sz w:val="24"/>
        </w:rPr>
        <w:t xml:space="preserve"> efficiencies in managing transportation costs.</w:t>
      </w:r>
    </w:p>
    <w:p>
      <w:pPr>
        <w:pStyle w:val="Normal"/>
        <w:rPr>
          <w:sz w:val="24"/>
        </w:rPr>
      </w:pPr>
      <w:r>
        <w:rPr>
          <w:sz w:val="24"/>
        </w:rPr>
      </w:r>
    </w:p>
    <w:p>
      <w:pPr>
        <w:pStyle w:val="Normal"/>
        <w:rPr>
          <w:sz w:val="24"/>
        </w:rPr>
      </w:pPr>
      <w:r>
        <w:rPr>
          <w:sz w:val="24"/>
        </w:rPr>
      </w:r>
    </w:p>
    <w:p>
      <w:pPr>
        <w:pStyle w:val="Normal"/>
        <w:tabs>
          <w:tab w:val="clear" w:pos="720"/>
          <w:tab w:val="left" w:pos="-1440" w:leader="none"/>
        </w:tabs>
        <w:ind w:hanging="720" w:start="720" w:end="0"/>
        <w:rPr>
          <w:b/>
          <w:bCs/>
          <w:sz w:val="24"/>
        </w:rPr>
      </w:pPr>
      <w:r>
        <w:rPr>
          <w:b/>
          <w:bCs/>
          <w:sz w:val="24"/>
        </w:rPr>
        <w:t>III.</w:t>
        <w:tab/>
        <w:t>THE SCGC / TURN COST / BENEFIT ANALYSIS OF TRANSMISSION UNBUNDLING IGNORES THE BENEFITS AND OVERSTATES THE COSTS.</w:t>
      </w:r>
    </w:p>
    <w:p>
      <w:pPr>
        <w:pStyle w:val="Normal"/>
        <w:rPr>
          <w:b/>
          <w:bCs/>
          <w:sz w:val="24"/>
        </w:rPr>
      </w:pPr>
      <w:r>
        <w:rPr>
          <w:b/>
          <w:bCs/>
          <w:sz w:val="24"/>
        </w:rPr>
      </w:r>
    </w:p>
    <w:p>
      <w:pPr>
        <w:sectPr>
          <w:footnotePr>
            <w:numFmt w:val="decimal"/>
          </w:footnotePr>
          <w:type w:val="continuous"/>
          <w:pgSz w:w="12240" w:h="15840"/>
          <w:pgMar w:left="1440" w:right="1440" w:gutter="0" w:header="0" w:top="1440" w:footer="1440" w:bottom="1496"/>
          <w:formProt w:val="false"/>
          <w:textDirection w:val="lrTb"/>
          <w:docGrid w:type="default" w:linePitch="360" w:charSpace="0"/>
        </w:sectPr>
      </w:pPr>
    </w:p>
    <w:p>
      <w:pPr>
        <w:pStyle w:val="Normal"/>
        <w:ind w:firstLine="720" w:end="0"/>
        <w:rPr>
          <w:b/>
          <w:bCs/>
          <w:sz w:val="24"/>
        </w:rPr>
      </w:pPr>
      <w:r>
        <w:rPr>
          <w:sz w:val="24"/>
        </w:rPr>
        <w:t>SCGC and TURN attempt to present a cost / benefit analysis of transmission unbundling, largely through the testimony of Ms. Yap, in an effort to show that the costs outweigh the benefits.  Ms. Yap ignores several significant benefits from unbundling, greatly exaggerates the possible costs, and presents unsubstantiated assertions about the impacts of unbundling on generators in the Los Angeles basin.</w:t>
      </w:r>
    </w:p>
    <w:p>
      <w:pPr>
        <w:pStyle w:val="Normal"/>
        <w:rPr>
          <w:b/>
          <w:bCs/>
          <w:sz w:val="24"/>
        </w:rPr>
      </w:pPr>
      <w:r>
        <w:rPr>
          <w:b/>
          <w:bCs/>
          <w:sz w:val="24"/>
        </w:rPr>
      </w:r>
    </w:p>
    <w:p>
      <w:pPr>
        <w:pStyle w:val="Normal"/>
        <w:rPr>
          <w:b/>
          <w:bCs/>
          <w:sz w:val="24"/>
        </w:rPr>
      </w:pPr>
      <w:r>
        <w:rPr>
          <w:b/>
          <w:bCs/>
          <w:sz w:val="24"/>
        </w:rPr>
      </w:r>
    </w:p>
    <w:p>
      <w:pPr>
        <w:pStyle w:val="Normal"/>
        <w:rPr>
          <w:b/>
          <w:bCs/>
          <w:sz w:val="24"/>
        </w:rPr>
      </w:pPr>
      <w:r>
        <w:rPr>
          <w:b/>
          <w:bCs/>
          <w:sz w:val="24"/>
        </w:rPr>
      </w:r>
    </w:p>
    <w:p>
      <w:pPr>
        <w:pStyle w:val="Normal"/>
        <w:tabs>
          <w:tab w:val="clear" w:pos="720"/>
          <w:tab w:val="left" w:pos="-1440" w:leader="none"/>
        </w:tabs>
        <w:ind w:hanging="720" w:start="1440" w:end="0"/>
        <w:rPr>
          <w:b/>
          <w:bCs/>
          <w:sz w:val="24"/>
        </w:rPr>
      </w:pPr>
      <w:r>
        <w:rPr>
          <w:b/>
          <w:bCs/>
          <w:sz w:val="24"/>
        </w:rPr>
        <w:t>A.</w:t>
        <w:tab/>
        <w:t>SCGC / TURN Fail to Recognize the Benefits of Unbundling.</w:t>
      </w:r>
    </w:p>
    <w:p>
      <w:pPr>
        <w:pStyle w:val="Normal"/>
        <w:rPr>
          <w:b/>
          <w:bCs/>
          <w:sz w:val="24"/>
        </w:rPr>
      </w:pPr>
      <w:r>
        <w:rPr>
          <w:b/>
          <w:bCs/>
          <w:sz w:val="24"/>
        </w:rPr>
      </w:r>
    </w:p>
    <w:p>
      <w:pPr>
        <w:pStyle w:val="Normal"/>
        <w:tabs>
          <w:tab w:val="clear" w:pos="720"/>
          <w:tab w:val="left" w:pos="-1440" w:leader="none"/>
        </w:tabs>
        <w:ind w:hanging="720" w:start="2160" w:end="0"/>
        <w:rPr>
          <w:sz w:val="24"/>
        </w:rPr>
      </w:pPr>
      <w:r>
        <w:rPr>
          <w:b/>
          <w:bCs/>
          <w:sz w:val="24"/>
        </w:rPr>
        <w:t>1.</w:t>
        <w:tab/>
        <w:t xml:space="preserve">Competitive benefits in the city-gate market </w:t>
      </w:r>
    </w:p>
    <w:p>
      <w:pPr>
        <w:pStyle w:val="Normal"/>
        <w:rPr>
          <w:sz w:val="24"/>
        </w:rPr>
      </w:pPr>
      <w:r>
        <w:rPr>
          <w:sz w:val="24"/>
        </w:rPr>
      </w:r>
    </w:p>
    <w:p>
      <w:pPr>
        <w:pStyle w:val="Normal"/>
        <w:ind w:firstLine="720" w:end="0"/>
        <w:rPr/>
      </w:pPr>
      <w:r>
        <w:rPr>
          <w:sz w:val="24"/>
        </w:rPr>
        <w:t>The experience with transmission unbundling under the PG&amp;E Gas Accord has demonstrated that end use customers realize competitive benefits from the creation of a city-gate market.  The city-gate market moves gas-to-gas competition between suppliers closer to the customer, and allows the customer to avoid risks associated with demand charges or managing backbone transportation. Those customers who believe they can achieve greater profits by managing their own transportation have that option, and since not all transportation rights are held by marketers, it is obvious that such customers do exist.</w:t>
      </w:r>
    </w:p>
    <w:p>
      <w:pPr>
        <w:pStyle w:val="Normal"/>
        <w:rPr>
          <w:sz w:val="24"/>
        </w:rPr>
      </w:pPr>
      <w:r>
        <w:rPr>
          <w:sz w:val="24"/>
        </w:rPr>
      </w:r>
    </w:p>
    <w:p>
      <w:pPr>
        <w:pStyle w:val="Normal"/>
        <w:ind w:firstLine="720" w:end="0"/>
        <w:rPr/>
      </w:pPr>
      <w:r>
        <w:rPr>
          <w:sz w:val="24"/>
        </w:rPr>
        <w:t xml:space="preserve">Mr. Weil doubts that the city-gate benefits seen on the PG&amp;E system will materialize, due to </w:t>
      </w:r>
      <w:r>
        <w:rPr>
          <w:rFonts w:cs="WP TypographicSymbols" w:ascii="WP TypographicSymbols" w:hAnsi="WP TypographicSymbols"/>
          <w:sz w:val="24"/>
        </w:rPr>
        <w:sym w:font="WP TypographicSymbols" w:char="f041"/>
      </w:r>
      <w:r>
        <w:rPr>
          <w:sz w:val="24"/>
        </w:rPr>
        <w:t>Southwest supply dominance</w:t>
      </w:r>
      <w:r>
        <w:rPr>
          <w:rFonts w:cs="WP TypographicSymbols" w:ascii="WP TypographicSymbols" w:hAnsi="WP TypographicSymbols"/>
          <w:sz w:val="24"/>
        </w:rPr>
        <w:sym w:font="WP TypographicSymbols" w:char="f040"/>
      </w:r>
      <w:r>
        <w:rPr>
          <w:sz w:val="24"/>
        </w:rPr>
        <w:t xml:space="preserve"> at SoCalGas receipt points.  </w:t>
      </w:r>
      <w:r>
        <w:rPr>
          <w:i/>
          <w:iCs/>
          <w:sz w:val="24"/>
        </w:rPr>
        <w:t xml:space="preserve">SCGC / TURN, at page 12, lines 8 - 10.  </w:t>
      </w:r>
      <w:r>
        <w:rPr>
          <w:sz w:val="24"/>
        </w:rPr>
        <w:t xml:space="preserve">Presumably this refers to the fact that gas prices tend to trade within a narrow range of a few cents per Dth at all of the receipt points into the SoCalGas system.  </w:t>
      </w:r>
      <w:r>
        <w:rPr>
          <w:i/>
          <w:iCs/>
          <w:sz w:val="24"/>
        </w:rPr>
        <w:t>Ibid., at p. 14, lines 7 - 13.</w:t>
      </w:r>
      <w:r>
        <w:rPr>
          <w:sz w:val="24"/>
        </w:rPr>
        <w:t xml:space="preserve">  The price differentials at the SoCalGas receipt points are much lower than the significant price differentials that have existed between Topock, Arizona, and Malin, Oregon, the two major receipt points into the PG&amp;E system.  However, this argument is undercut by the observation  that, over the most recent year for which data is available, Malin prices have been essentially equivalent to Topock prices, when adjusted for the transportation differential between PG&amp;E</w:t>
      </w:r>
      <w:r>
        <w:rPr>
          <w:rFonts w:cs="WP TypographicSymbols" w:ascii="WP TypographicSymbols" w:hAnsi="WP TypographicSymbols"/>
          <w:sz w:val="24"/>
        </w:rPr>
        <w:sym w:font="WP TypographicSymbols" w:char="f03d"/>
      </w:r>
      <w:r>
        <w:rPr>
          <w:sz w:val="24"/>
        </w:rPr>
        <w:t xml:space="preserve">s Redwood and Baja paths.  This has been the result of rising Canadian prices relative to U.S. markets, which has resulted in a competitive equilibrium between Canadian and domestic suplies serving northern California.  Yet over this year the benefits of PG&amp;E city-gate purchases has actually </w:t>
      </w:r>
      <w:r>
        <w:rPr>
          <w:b/>
          <w:bCs/>
          <w:sz w:val="24"/>
        </w:rPr>
        <w:t>increased</w:t>
      </w:r>
      <w:r>
        <w:rPr>
          <w:sz w:val="24"/>
        </w:rPr>
        <w:t xml:space="preserve">, even though there was very little difference between Malin and Topock prices delivered to he end user.  This data is summarized in my </w:t>
      </w:r>
      <w:r>
        <w:rPr>
          <w:b/>
          <w:bCs/>
          <w:sz w:val="24"/>
        </w:rPr>
        <w:t>Table 1.</w:t>
      </w:r>
      <w:r>
        <w:rPr>
          <w:sz w:val="24"/>
        </w:rPr>
        <w:t xml:space="preserve">  Contrary to the SCGC / TURN testimony, this recent experience suggests that the price benefits from competition at a new SoCalGas city-gate may be just as large as those actually observed on the PG&amp;E system.</w:t>
      </w:r>
    </w:p>
    <w:p>
      <w:pPr>
        <w:pStyle w:val="Normal"/>
        <w:rPr>
          <w:sz w:val="24"/>
        </w:rPr>
      </w:pPr>
      <w:r>
        <w:rPr>
          <w:sz w:val="24"/>
        </w:rPr>
      </w:r>
    </w:p>
    <w:p>
      <w:pPr>
        <w:pStyle w:val="Normal"/>
        <w:rPr>
          <w:sz w:val="24"/>
        </w:rPr>
      </w:pPr>
      <w:r>
        <w:rPr>
          <w:b/>
          <w:bCs/>
          <w:sz w:val="24"/>
        </w:rPr>
        <w:t>Table 1</w:t>
      </w:r>
    </w:p>
    <w:p>
      <w:pPr>
        <w:pStyle w:val="Normal"/>
        <w:rPr>
          <w:sz w:val="24"/>
        </w:rPr>
      </w:pPr>
      <w:r>
        <w:rPr>
          <w:sz w:val="24"/>
        </w:rPr>
      </w:r>
    </w:p>
    <w:p>
      <w:pPr>
        <w:pStyle w:val="Normal"/>
        <w:rPr>
          <w:sz w:val="24"/>
        </w:rPr>
      </w:pPr>
      <w:r>
        <w:rPr>
          <w:b/>
          <w:bCs/>
          <w:sz w:val="24"/>
        </w:rPr>
        <w:t>Natural Gas Market (May</w:t>
        <w:noBreakHyphen/>
        <w:t>99 through Apr</w:t>
        <w:noBreakHyphen/>
        <w:t xml:space="preserve">00) </w:t>
      </w:r>
      <w:r>
        <w:rPr>
          <w:rFonts w:cs="WP TypographicSymbols" w:ascii="WP TypographicSymbols" w:hAnsi="WP TypographicSymbols"/>
          <w:b/>
          <w:bCs/>
          <w:sz w:val="24"/>
        </w:rPr>
        <w:sym w:font="WP TypographicSymbols" w:char="f043"/>
      </w:r>
      <w:r>
        <w:rPr>
          <w:b/>
          <w:bCs/>
          <w:sz w:val="24"/>
        </w:rPr>
        <w:t xml:space="preserve"> $/MMBtu</w:t>
      </w:r>
    </w:p>
    <w:tbl>
      <w:tblPr>
        <w:tblW w:w="6048" w:type="dxa"/>
        <w:jc w:val="start"/>
        <w:tblInd w:w="30" w:type="dxa"/>
        <w:tblLayout w:type="fixed"/>
        <w:tblCellMar>
          <w:top w:w="0" w:type="dxa"/>
          <w:start w:w="30" w:type="dxa"/>
          <w:bottom w:w="0" w:type="dxa"/>
          <w:end w:w="30" w:type="dxa"/>
        </w:tblCellMar>
      </w:tblPr>
      <w:tblGrid>
        <w:gridCol w:w="1512"/>
        <w:gridCol w:w="1512"/>
        <w:gridCol w:w="1512"/>
        <w:gridCol w:w="1512"/>
      </w:tblGrid>
      <w:tr>
        <w:trPr/>
        <w:tc>
          <w:tcPr>
            <w:tcW w:w="1512"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48"/>
              <w:rPr>
                <w:sz w:val="24"/>
              </w:rPr>
            </w:pPr>
            <w:r>
              <w:rPr>
                <w:sz w:val="24"/>
              </w:rPr>
            </w:r>
          </w:p>
          <w:p>
            <w:pPr>
              <w:pStyle w:val="Normal"/>
              <w:tabs>
                <w:tab w:val="clear" w:pos="720"/>
                <w:tab w:val="left" w:pos="0" w:leader="none"/>
              </w:tabs>
              <w:jc w:val="end"/>
              <w:rPr>
                <w:rFonts w:ascii="Arial" w:hAnsi="Arial" w:cs="Arial"/>
                <w:sz w:val="24"/>
                <w:szCs w:val="20"/>
                <w:u w:val="single"/>
              </w:rPr>
            </w:pPr>
            <w:r>
              <w:rPr>
                <w:rFonts w:cs="Arial" w:ascii="Arial" w:hAnsi="Arial"/>
                <w:sz w:val="24"/>
                <w:szCs w:val="20"/>
                <w:u w:val="single"/>
              </w:rPr>
            </w:r>
          </w:p>
        </w:tc>
        <w:tc>
          <w:tcPr>
            <w:tcW w:w="1512"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48"/>
              <w:rPr>
                <w:rFonts w:ascii="Arial" w:hAnsi="Arial" w:cs="Arial"/>
                <w:szCs w:val="20"/>
                <w:u w:val="single"/>
              </w:rPr>
            </w:pPr>
            <w:r>
              <w:rPr>
                <w:rFonts w:cs="Arial" w:ascii="Arial" w:hAnsi="Arial"/>
                <w:szCs w:val="20"/>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Arial" w:hAnsi="Arial" w:cs="Arial"/>
                <w:szCs w:val="20"/>
                <w:u w:val="single"/>
              </w:rPr>
            </w:pPr>
            <w:r>
              <w:rPr>
                <w:rFonts w:cs="Arial" w:ascii="Arial" w:hAnsi="Arial"/>
                <w:szCs w:val="20"/>
                <w:u w:val="single"/>
              </w:rPr>
              <w:t>Malin</w:t>
            </w:r>
          </w:p>
        </w:tc>
        <w:tc>
          <w:tcPr>
            <w:tcW w:w="1512"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48"/>
              <w:rPr>
                <w:rFonts w:ascii="Arial" w:hAnsi="Arial" w:cs="Arial"/>
                <w:szCs w:val="20"/>
                <w:u w:val="single"/>
              </w:rPr>
            </w:pPr>
            <w:r>
              <w:rPr>
                <w:rFonts w:cs="Arial" w:ascii="Arial" w:hAnsi="Arial"/>
                <w:szCs w:val="20"/>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Arial" w:hAnsi="Arial" w:cs="Arial"/>
                <w:szCs w:val="20"/>
                <w:u w:val="single"/>
              </w:rPr>
            </w:pPr>
            <w:r>
              <w:rPr>
                <w:rFonts w:cs="Arial" w:ascii="Arial" w:hAnsi="Arial"/>
                <w:szCs w:val="20"/>
                <w:u w:val="single"/>
              </w:rPr>
              <w:t>Topock</w:t>
            </w:r>
          </w:p>
        </w:tc>
        <w:tc>
          <w:tcPr>
            <w:tcW w:w="1512"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48"/>
              <w:rPr>
                <w:rFonts w:ascii="Arial" w:hAnsi="Arial" w:cs="Arial"/>
                <w:szCs w:val="20"/>
                <w:u w:val="single"/>
              </w:rPr>
            </w:pPr>
            <w:r>
              <w:rPr>
                <w:rFonts w:cs="Arial" w:ascii="Arial" w:hAnsi="Arial"/>
                <w:szCs w:val="20"/>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Arial" w:hAnsi="Arial" w:cs="Arial"/>
                <w:szCs w:val="20"/>
                <w:u w:val="single"/>
              </w:rPr>
            </w:pPr>
            <w:r>
              <w:rPr>
                <w:rFonts w:cs="Arial" w:ascii="Arial" w:hAnsi="Arial"/>
                <w:szCs w:val="20"/>
                <w:u w:val="single"/>
              </w:rPr>
              <w:t>PG&amp;E</w:t>
            </w:r>
          </w:p>
        </w:tc>
      </w:tr>
      <w:tr>
        <w:trPr/>
        <w:tc>
          <w:tcPr>
            <w:tcW w:w="1512"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48"/>
              <w:rPr>
                <w:rFonts w:ascii="Arial" w:hAnsi="Arial" w:cs="Arial"/>
                <w:szCs w:val="20"/>
                <w:u w:val="single"/>
              </w:rPr>
            </w:pPr>
            <w:r>
              <w:rPr>
                <w:rFonts w:cs="Arial" w:ascii="Arial" w:hAnsi="Arial"/>
                <w:szCs w:val="20"/>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i/>
                <w:i/>
                <w:iCs/>
                <w:szCs w:val="20"/>
              </w:rPr>
            </w:pPr>
            <w:r>
              <w:rPr>
                <w:rFonts w:cs="Arial" w:ascii="Arial" w:hAnsi="Arial"/>
                <w:i/>
                <w:iCs/>
                <w:szCs w:val="20"/>
              </w:rPr>
              <w:t>Commodity:</w:t>
            </w:r>
          </w:p>
        </w:tc>
        <w:tc>
          <w:tcPr>
            <w:tcW w:w="1512"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48"/>
              <w:rPr>
                <w:rFonts w:ascii="Arial" w:hAnsi="Arial" w:cs="Arial"/>
                <w:i/>
                <w:i/>
                <w:iCs/>
                <w:szCs w:val="20"/>
              </w:rPr>
            </w:pPr>
            <w:r>
              <w:rPr>
                <w:rFonts w:cs="Arial" w:ascii="Arial" w:hAnsi="Arial"/>
                <w:i/>
                <w:i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Arial" w:hAnsi="Arial" w:cs="Arial"/>
                <w:szCs w:val="20"/>
              </w:rPr>
            </w:pPr>
            <w:r>
              <w:rPr>
                <w:rFonts w:cs="Arial" w:ascii="Arial" w:hAnsi="Arial"/>
                <w:szCs w:val="20"/>
              </w:rPr>
              <w:t>2.44</w:t>
            </w:r>
          </w:p>
        </w:tc>
        <w:tc>
          <w:tcPr>
            <w:tcW w:w="1512"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48"/>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Arial" w:hAnsi="Arial" w:cs="Arial"/>
                <w:szCs w:val="20"/>
              </w:rPr>
            </w:pPr>
            <w:r>
              <w:rPr>
                <w:rFonts w:cs="Arial" w:ascii="Arial" w:hAnsi="Arial"/>
                <w:szCs w:val="20"/>
              </w:rPr>
              <w:t>2.56</w:t>
            </w:r>
          </w:p>
        </w:tc>
        <w:tc>
          <w:tcPr>
            <w:tcW w:w="1512"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48"/>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Arial" w:hAnsi="Arial" w:cs="Arial"/>
                <w:szCs w:val="20"/>
              </w:rPr>
            </w:pPr>
            <w:r>
              <w:rPr>
                <w:rFonts w:cs="Arial" w:ascii="Arial" w:hAnsi="Arial"/>
                <w:szCs w:val="20"/>
              </w:rPr>
              <w:t>2.71</w:t>
            </w:r>
          </w:p>
        </w:tc>
      </w:tr>
      <w:tr>
        <w:trPr/>
        <w:tc>
          <w:tcPr>
            <w:tcW w:w="1512"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48"/>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r>
          </w:p>
        </w:tc>
        <w:tc>
          <w:tcPr>
            <w:tcW w:w="1512"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48"/>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r>
          </w:p>
        </w:tc>
        <w:tc>
          <w:tcPr>
            <w:tcW w:w="1512"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48"/>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r>
          </w:p>
        </w:tc>
        <w:tc>
          <w:tcPr>
            <w:tcW w:w="1512"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48"/>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r>
          </w:p>
        </w:tc>
      </w:tr>
      <w:tr>
        <w:trPr/>
        <w:tc>
          <w:tcPr>
            <w:tcW w:w="1512"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48"/>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szCs w:val="20"/>
              </w:rPr>
            </w:pPr>
            <w:r>
              <w:rPr>
                <w:rFonts w:cs="Arial" w:ascii="Arial" w:hAnsi="Arial"/>
                <w:i/>
                <w:iCs/>
                <w:szCs w:val="20"/>
                <w:u w:val="single"/>
              </w:rPr>
              <w:t>Transportation:</w:t>
            </w:r>
          </w:p>
        </w:tc>
        <w:tc>
          <w:tcPr>
            <w:tcW w:w="1512"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48"/>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Arial" w:hAnsi="Arial" w:cs="Arial"/>
                <w:szCs w:val="20"/>
                <w:u w:val="single"/>
              </w:rPr>
            </w:pPr>
            <w:r>
              <w:rPr>
                <w:rFonts w:cs="Arial" w:ascii="Arial" w:hAnsi="Arial"/>
                <w:szCs w:val="20"/>
                <w:u w:val="single"/>
              </w:rPr>
              <w:t>Redwood</w:t>
            </w:r>
          </w:p>
        </w:tc>
        <w:tc>
          <w:tcPr>
            <w:tcW w:w="1512"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48"/>
              <w:rPr>
                <w:rFonts w:ascii="Arial" w:hAnsi="Arial" w:cs="Arial"/>
                <w:szCs w:val="20"/>
                <w:u w:val="single"/>
              </w:rPr>
            </w:pPr>
            <w:r>
              <w:rPr>
                <w:rFonts w:cs="Arial" w:ascii="Arial" w:hAnsi="Arial"/>
                <w:szCs w:val="20"/>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Arial" w:hAnsi="Arial" w:cs="Arial"/>
                <w:szCs w:val="20"/>
                <w:u w:val="single"/>
              </w:rPr>
            </w:pPr>
            <w:r>
              <w:rPr>
                <w:rFonts w:cs="Arial" w:ascii="Arial" w:hAnsi="Arial"/>
                <w:szCs w:val="20"/>
                <w:u w:val="single"/>
              </w:rPr>
              <w:t>Baja</w:t>
            </w:r>
          </w:p>
        </w:tc>
        <w:tc>
          <w:tcPr>
            <w:tcW w:w="1512"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48"/>
              <w:rPr>
                <w:rFonts w:ascii="Arial" w:hAnsi="Arial" w:cs="Arial"/>
                <w:szCs w:val="20"/>
                <w:u w:val="single"/>
              </w:rPr>
            </w:pPr>
            <w:r>
              <w:rPr>
                <w:rFonts w:cs="Arial" w:ascii="Arial" w:hAnsi="Arial"/>
                <w:szCs w:val="20"/>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u w:val="single"/>
              </w:rPr>
            </w:pPr>
            <w:r>
              <w:rPr>
                <w:rFonts w:cs="Arial" w:ascii="Arial" w:hAnsi="Arial"/>
                <w:szCs w:val="20"/>
                <w:u w:val="single"/>
              </w:rPr>
            </w:r>
          </w:p>
        </w:tc>
      </w:tr>
      <w:tr>
        <w:trPr/>
        <w:tc>
          <w:tcPr>
            <w:tcW w:w="1512"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48"/>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i/>
                <w:i/>
                <w:iCs/>
                <w:szCs w:val="20"/>
              </w:rPr>
            </w:pPr>
            <w:r>
              <w:rPr>
                <w:rFonts w:cs="Arial" w:ascii="Arial" w:hAnsi="Arial"/>
                <w:i/>
                <w:iCs/>
                <w:szCs w:val="20"/>
              </w:rPr>
              <w:t>Market Rate:</w:t>
            </w:r>
          </w:p>
        </w:tc>
        <w:tc>
          <w:tcPr>
            <w:tcW w:w="1512"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48"/>
              <w:rPr>
                <w:rFonts w:ascii="Arial" w:hAnsi="Arial" w:cs="Arial"/>
                <w:i/>
                <w:i/>
                <w:iCs/>
                <w:szCs w:val="20"/>
              </w:rPr>
            </w:pPr>
            <w:r>
              <w:rPr>
                <w:rFonts w:cs="Arial" w:ascii="Arial" w:hAnsi="Arial"/>
                <w:i/>
                <w:i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Arial" w:hAnsi="Arial" w:cs="Arial"/>
                <w:szCs w:val="20"/>
              </w:rPr>
            </w:pPr>
            <w:r>
              <w:rPr>
                <w:rFonts w:cs="Arial" w:ascii="Arial" w:hAnsi="Arial"/>
                <w:szCs w:val="20"/>
              </w:rPr>
              <w:t>0.27</w:t>
            </w:r>
          </w:p>
        </w:tc>
        <w:tc>
          <w:tcPr>
            <w:tcW w:w="1512"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48"/>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Arial" w:hAnsi="Arial" w:cs="Arial"/>
                <w:szCs w:val="20"/>
              </w:rPr>
            </w:pPr>
            <w:r>
              <w:rPr>
                <w:rFonts w:cs="Arial" w:ascii="Arial" w:hAnsi="Arial"/>
                <w:szCs w:val="20"/>
              </w:rPr>
              <w:t>0.15</w:t>
            </w:r>
          </w:p>
        </w:tc>
        <w:tc>
          <w:tcPr>
            <w:tcW w:w="1512"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48"/>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Arial" w:hAnsi="Arial" w:cs="Arial"/>
                <w:szCs w:val="20"/>
              </w:rPr>
            </w:pPr>
            <w:r>
              <w:rPr>
                <w:rFonts w:cs="Arial" w:ascii="Arial" w:hAnsi="Arial"/>
                <w:szCs w:val="20"/>
              </w:rPr>
            </w:r>
          </w:p>
        </w:tc>
      </w:tr>
      <w:tr>
        <w:trPr/>
        <w:tc>
          <w:tcPr>
            <w:tcW w:w="1512"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48"/>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i/>
                <w:i/>
                <w:iCs/>
                <w:szCs w:val="20"/>
              </w:rPr>
            </w:pPr>
            <w:r>
              <w:rPr>
                <w:rFonts w:cs="Arial" w:ascii="Arial" w:hAnsi="Arial"/>
                <w:i/>
                <w:iCs/>
                <w:szCs w:val="20"/>
              </w:rPr>
              <w:t>Firm:</w:t>
            </w:r>
          </w:p>
        </w:tc>
        <w:tc>
          <w:tcPr>
            <w:tcW w:w="1512"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48"/>
              <w:rPr>
                <w:rFonts w:ascii="Arial" w:hAnsi="Arial" w:cs="Arial"/>
                <w:i/>
                <w:i/>
                <w:iCs/>
                <w:szCs w:val="20"/>
              </w:rPr>
            </w:pPr>
            <w:r>
              <w:rPr>
                <w:rFonts w:cs="Arial" w:ascii="Arial" w:hAnsi="Arial"/>
                <w:i/>
                <w:i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Arial" w:hAnsi="Arial" w:cs="Arial"/>
                <w:szCs w:val="20"/>
              </w:rPr>
            </w:pPr>
            <w:r>
              <w:rPr>
                <w:rFonts w:cs="Arial" w:ascii="Arial" w:hAnsi="Arial"/>
                <w:szCs w:val="20"/>
              </w:rPr>
              <w:t>0.32</w:t>
            </w:r>
          </w:p>
        </w:tc>
        <w:tc>
          <w:tcPr>
            <w:tcW w:w="1512"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48"/>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Arial" w:hAnsi="Arial" w:cs="Arial"/>
                <w:szCs w:val="20"/>
              </w:rPr>
            </w:pPr>
            <w:r>
              <w:rPr>
                <w:rFonts w:cs="Arial" w:ascii="Arial" w:hAnsi="Arial"/>
                <w:szCs w:val="20"/>
              </w:rPr>
              <w:t>0.22</w:t>
            </w:r>
          </w:p>
        </w:tc>
        <w:tc>
          <w:tcPr>
            <w:tcW w:w="1512"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48"/>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Cs w:val="20"/>
              </w:rPr>
            </w:pPr>
            <w:r>
              <w:rPr>
                <w:rFonts w:cs="Arial" w:ascii="Arial" w:hAnsi="Arial"/>
                <w:szCs w:val="20"/>
              </w:rPr>
            </w:r>
          </w:p>
        </w:tc>
      </w:tr>
      <w:tr>
        <w:trPr/>
        <w:tc>
          <w:tcPr>
            <w:tcW w:w="1512"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48"/>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i/>
                <w:i/>
                <w:iCs/>
                <w:szCs w:val="20"/>
              </w:rPr>
            </w:pPr>
            <w:r>
              <w:rPr>
                <w:rFonts w:cs="Arial" w:ascii="Arial" w:hAnsi="Arial"/>
                <w:i/>
                <w:iCs/>
                <w:szCs w:val="20"/>
              </w:rPr>
              <w:t>As-Avail:</w:t>
            </w:r>
          </w:p>
        </w:tc>
        <w:tc>
          <w:tcPr>
            <w:tcW w:w="1512"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48"/>
              <w:rPr>
                <w:rFonts w:ascii="Arial" w:hAnsi="Arial" w:cs="Arial"/>
                <w:i/>
                <w:i/>
                <w:iCs/>
                <w:szCs w:val="20"/>
              </w:rPr>
            </w:pPr>
            <w:r>
              <w:rPr>
                <w:rFonts w:cs="Arial" w:ascii="Arial" w:hAnsi="Arial"/>
                <w:i/>
                <w:iCs/>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Arial" w:hAnsi="Arial" w:cs="Arial"/>
                <w:szCs w:val="20"/>
              </w:rPr>
            </w:pPr>
            <w:r>
              <w:rPr>
                <w:rFonts w:cs="Arial" w:ascii="Arial" w:hAnsi="Arial"/>
                <w:szCs w:val="20"/>
              </w:rPr>
              <w:t>0.38</w:t>
            </w:r>
          </w:p>
        </w:tc>
        <w:tc>
          <w:tcPr>
            <w:tcW w:w="1512"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48"/>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Arial" w:hAnsi="Arial" w:cs="Arial"/>
                <w:szCs w:val="20"/>
              </w:rPr>
            </w:pPr>
            <w:r>
              <w:rPr>
                <w:rFonts w:cs="Arial" w:ascii="Arial" w:hAnsi="Arial"/>
                <w:szCs w:val="20"/>
              </w:rPr>
              <w:t>0.26</w:t>
            </w:r>
          </w:p>
        </w:tc>
        <w:tc>
          <w:tcPr>
            <w:tcW w:w="1512"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48"/>
              <w:rPr>
                <w:rFonts w:ascii="Arial" w:hAnsi="Arial" w:cs="Arial"/>
                <w:szCs w:val="20"/>
              </w:rPr>
            </w:pPr>
            <w:r>
              <w:rPr>
                <w:rFonts w:cs="Arial" w:ascii="Arial" w:hAnsi="Arial"/>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Arial" w:hAnsi="Arial" w:cs="Arial"/>
                <w:sz w:val="24"/>
                <w:szCs w:val="20"/>
              </w:rPr>
            </w:pPr>
            <w:r>
              <w:rPr>
                <w:rFonts w:cs="Arial" w:ascii="Arial" w:hAnsi="Arial"/>
                <w:sz w:val="24"/>
                <w:szCs w:val="20"/>
              </w:rPr>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2160" w:end="0"/>
        <w:rPr/>
      </w:pPr>
      <w:r>
        <w:rPr>
          <w:b/>
          <w:bCs/>
          <w:sz w:val="24"/>
        </w:rPr>
        <w:t>2.</w:t>
        <w:tab/>
        <w:t>The Comprehensive Settlement reduces rates for EG customers.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bCs/>
          <w:sz w:val="24"/>
        </w:rPr>
      </w:pPr>
      <w:r>
        <w:rPr>
          <w:b/>
          <w:bCs/>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pPr>
      <w:r>
        <w:rPr>
          <w:sz w:val="24"/>
        </w:rPr>
        <w:t>Transmission unbundling, as proposed in the Comprehensive Settlement, will result in a modest reduction in transportation rates for electric generators.  My direct testimony discussed how transmission unbundling under the Comprehensive Settlement will reduce EG rates by $3 million per year in 2002, or about $0.01 per Dth, compared to the SoCalGas rates adopted in the recent BCAP decision, D. 00-04-060.  In addition, the Comprehensive Settlement unbundles transmission rates on an embedded cost basis, removing the bulk of EG rates from SoCalGas</w:t>
      </w:r>
      <w:r>
        <w:rPr>
          <w:rFonts w:cs="WP TypographicSymbols" w:ascii="WP TypographicSymbols" w:hAnsi="WP TypographicSymbols"/>
          <w:sz w:val="24"/>
        </w:rPr>
        <w:sym w:font="WP TypographicSymbols" w:char="f03d"/>
      </w:r>
      <w:r>
        <w:rPr>
          <w:sz w:val="24"/>
        </w:rPr>
        <w:t xml:space="preserve"> complex, contentious long-run marginal cost rate design.  This will enhance the certainty and stability of SoCalGas</w:t>
      </w:r>
      <w:r>
        <w:rPr>
          <w:rFonts w:cs="WP TypographicSymbols" w:ascii="WP TypographicSymbols" w:hAnsi="WP TypographicSymbols"/>
          <w:sz w:val="24"/>
        </w:rPr>
        <w:sym w:font="WP TypographicSymbols" w:char="f03d"/>
      </w:r>
      <w:r>
        <w:rPr>
          <w:sz w:val="24"/>
        </w:rPr>
        <w:t xml:space="preserve"> EG rates </w:t>
      </w:r>
      <w:r>
        <w:rPr>
          <w:rFonts w:cs="WP TypographicSymbols" w:ascii="WP TypographicSymbols" w:hAnsi="WP TypographicSymbols"/>
          <w:sz w:val="24"/>
        </w:rPr>
        <w:sym w:font="WP TypographicSymbols" w:char="f043"/>
      </w:r>
      <w:r>
        <w:rPr>
          <w:sz w:val="24"/>
        </w:rPr>
        <w:t xml:space="preserve"> a particularly important factor to EG customers that may seek to build new gas-fired capacity on the SoCalGas system.</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2160" w:end="0"/>
        <w:rPr>
          <w:b/>
          <w:bCs/>
          <w:sz w:val="24"/>
        </w:rPr>
      </w:pPr>
      <w:r>
        <w:rPr>
          <w:b/>
          <w:bCs/>
          <w:sz w:val="24"/>
        </w:rPr>
        <w:t>3.</w:t>
        <w:tab/>
        <w:t>The Comprehensive Settlement reduces risks for EG customers.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bCs/>
          <w:sz w:val="24"/>
        </w:rPr>
      </w:pPr>
      <w:r>
        <w:rPr>
          <w:b/>
          <w:bCs/>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pPr>
      <w:r>
        <w:rPr>
          <w:sz w:val="24"/>
        </w:rPr>
        <w:t xml:space="preserve">Ms. Yap comments at length on how </w:t>
      </w:r>
      <w:r>
        <w:rPr>
          <w:rFonts w:cs="WP TypographicSymbols" w:ascii="WP TypographicSymbols" w:hAnsi="WP TypographicSymbols"/>
          <w:sz w:val="24"/>
        </w:rPr>
        <w:sym w:font="WP TypographicSymbols" w:char="f041"/>
      </w:r>
      <w:r>
        <w:rPr>
          <w:sz w:val="24"/>
        </w:rPr>
        <w:t>if a generator</w:t>
      </w:r>
      <w:r>
        <w:rPr>
          <w:rFonts w:cs="WP TypographicSymbols" w:ascii="WP TypographicSymbols" w:hAnsi="WP TypographicSymbols"/>
          <w:sz w:val="24"/>
        </w:rPr>
        <w:sym w:font="WP TypographicSymbols" w:char="f03d"/>
      </w:r>
      <w:r>
        <w:rPr>
          <w:sz w:val="24"/>
        </w:rPr>
        <w:t>s fundamental risk increases, investors demand more net income from the operation to compensate them for that increased level of risk.</w:t>
      </w:r>
      <w:r>
        <w:rPr>
          <w:rFonts w:cs="WP TypographicSymbols" w:ascii="WP TypographicSymbols" w:hAnsi="WP TypographicSymbols"/>
          <w:sz w:val="24"/>
        </w:rPr>
        <w:sym w:font="WP TypographicSymbols" w:char="f040"/>
      </w:r>
      <w:r>
        <w:rPr>
          <w:sz w:val="24"/>
        </w:rPr>
        <w:t xml:space="preserve">  </w:t>
      </w:r>
      <w:r>
        <w:rPr>
          <w:i/>
          <w:iCs/>
          <w:sz w:val="24"/>
        </w:rPr>
        <w:t xml:space="preserve">SCGC / TURN, at page 21, lines 24 - 26.  </w:t>
      </w:r>
      <w:r>
        <w:rPr>
          <w:sz w:val="24"/>
        </w:rPr>
        <w:t xml:space="preserve">In my view, the Comprehensive Settlement </w:t>
      </w:r>
      <w:r>
        <w:rPr>
          <w:b/>
          <w:bCs/>
          <w:sz w:val="24"/>
        </w:rPr>
        <w:t>reduces</w:t>
      </w:r>
      <w:r>
        <w:rPr>
          <w:sz w:val="24"/>
        </w:rPr>
        <w:t xml:space="preserve"> a number of important risks for electric generators, compared to the SCGC / TURN PISA, as follows: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Style14"/>
        <w:numPr>
          <w:ilvl w:val="0"/>
          <w:numId w:val="2"/>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t>SoCalGas shareholders will assume 100% risk for the recovery of unbundled backbone transmission costs.  This protects electric generation customers from bearing higher backbone transmission costs if SoCalGas discounts backbone rates or if declining throughput leads to reduced backbone transmission revenues.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Style14"/>
        <w:numPr>
          <w:ilvl w:val="0"/>
          <w:numId w:val="2"/>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t>The Comprehensive Settlement prices transmission services on an embedded cost basis through August, 2006.  This removes the calculation and allocation of marginal transmission costs as an issue in the next SoCalGas BCAP case.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Style14"/>
        <w:numPr>
          <w:ilvl w:val="0"/>
          <w:numId w:val="2"/>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t>The Comprehensive Settlement uses a defined 79% load factor to price backbone  transmission service through the term of the settlement.  This removes the risk that declining throughput on the SoCalGas system could raise backbone transmission rates in the next SoCalGas BCAP case.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Style14"/>
        <w:numPr>
          <w:ilvl w:val="0"/>
          <w:numId w:val="2"/>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t>The Comprehensive Settlement reduces customers</w:t>
      </w:r>
      <w:r>
        <w:rPr>
          <w:rFonts w:cs="WP TypographicSymbols" w:ascii="WP TypographicSymbols" w:hAnsi="WP TypographicSymbols"/>
          <w:sz w:val="24"/>
        </w:rPr>
        <w:sym w:font="WP TypographicSymbols" w:char="f03d"/>
      </w:r>
      <w:r>
        <w:rPr>
          <w:sz w:val="24"/>
        </w:rPr>
        <w:t xml:space="preserve"> risk for revenues from unbundled storage services to 25% in the second year (beginning in April, 2002), while the SCGC / TURN PISA maintains the 50% risk adopted in D. 00-04-060 through 2002.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sectPr>
          <w:footnotePr>
            <w:numFmt w:val="decimal"/>
          </w:footnotePr>
          <w:type w:val="continuous"/>
          <w:pgSz w:w="12240" w:h="15840"/>
          <w:pgMar w:left="1440" w:right="1440" w:gutter="0" w:header="0" w:top="1440" w:footer="1440" w:bottom="1496"/>
          <w:formProt w:val="false"/>
          <w:textDirection w:val="lrTb"/>
          <w:docGrid w:type="default" w:linePitch="360" w:charSpace="0"/>
        </w:sectPr>
      </w:pPr>
    </w:p>
    <w:p>
      <w:pPr>
        <w:pStyle w:val="Style14"/>
        <w:numPr>
          <w:ilvl w:val="0"/>
          <w:numId w:val="2"/>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t>The Comprehensive Settlement unbundles SoCalGas</w:t>
      </w:r>
      <w:r>
        <w:rPr>
          <w:rFonts w:cs="WP TypographicSymbols" w:ascii="WP TypographicSymbols" w:hAnsi="WP TypographicSymbols"/>
          <w:sz w:val="24"/>
        </w:rPr>
        <w:sym w:font="WP TypographicSymbols" w:char="f03d"/>
      </w:r>
      <w:r>
        <w:rPr>
          <w:sz w:val="24"/>
        </w:rPr>
        <w:t xml:space="preserve"> transmission, storage, and balancing services.  This will offer electric generators a number of new opportunities to reduce their costs, including (1) city-gate gas purchases, (2) self-balancing or competitive balancing services, and (3) new, competitive storage services.  In my opinion, these opportunities reduce the risk that generators in the Los Angeles Basin will be caught in a </w:t>
      </w:r>
      <w:r>
        <w:rPr>
          <w:rFonts w:cs="WP TypographicSymbols" w:ascii="WP TypographicSymbols" w:hAnsi="WP TypographicSymbols"/>
          <w:sz w:val="24"/>
        </w:rPr>
        <w:sym w:font="WP TypographicSymbols" w:char="f041"/>
      </w:r>
      <w:r>
        <w:rPr>
          <w:sz w:val="24"/>
        </w:rPr>
        <w:t>price squeeze</w:t>
      </w:r>
      <w:r>
        <w:rPr>
          <w:rFonts w:cs="WP TypographicSymbols" w:ascii="WP TypographicSymbols" w:hAnsi="WP TypographicSymbols"/>
          <w:sz w:val="24"/>
        </w:rPr>
        <w:sym w:font="WP TypographicSymbols" w:char="f040"/>
      </w:r>
      <w:r>
        <w:rPr>
          <w:sz w:val="24"/>
        </w:rPr>
        <w:t xml:space="preserve"> between their gas costs and their electric revenues, because they will have more opportunities to reduce their gas costs.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rPr>
          <w:b/>
          <w:bCs/>
          <w:sz w:val="24"/>
        </w:rPr>
      </w:pPr>
      <w:r>
        <w:rPr>
          <w:b/>
          <w:bCs/>
          <w:sz w:val="24"/>
        </w:rPr>
        <w:t>B.</w:t>
        <w:tab/>
        <w:t>SCGC / TURN Greatly Overstate the Impact of Demand Charges.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bCs/>
          <w:sz w:val="24"/>
        </w:rPr>
      </w:pPr>
      <w:r>
        <w:rPr>
          <w:b/>
          <w:bCs/>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pPr>
      <w:r>
        <w:rPr>
          <w:sz w:val="24"/>
        </w:rPr>
        <w:t>The use of demand charges for backbone transmission service appears to be the focal point of SCGC / TURN</w:t>
      </w:r>
      <w:r>
        <w:rPr>
          <w:rFonts w:cs="WP TypographicSymbols" w:ascii="WP TypographicSymbols" w:hAnsi="WP TypographicSymbols"/>
          <w:sz w:val="24"/>
        </w:rPr>
        <w:sym w:font="WP TypographicSymbols" w:char="f03d"/>
      </w:r>
      <w:r>
        <w:rPr>
          <w:sz w:val="24"/>
        </w:rPr>
        <w:t>s opposition to transmission unbundling.  Throughout their testimony, SCGC / TURN overstate the impact of demand charges: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Style14"/>
        <w:numPr>
          <w:ilvl w:val="0"/>
          <w:numId w:val="2"/>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t>Ms. Yap</w:t>
      </w:r>
      <w:r>
        <w:rPr>
          <w:rFonts w:cs="WP TypographicSymbols" w:ascii="WP TypographicSymbols" w:hAnsi="WP TypographicSymbols"/>
          <w:sz w:val="24"/>
        </w:rPr>
        <w:sym w:font="WP TypographicSymbols" w:char="f03d"/>
      </w:r>
      <w:r>
        <w:rPr>
          <w:sz w:val="24"/>
        </w:rPr>
        <w:t>s Figure 1, showing the impact of a customer</w:t>
      </w:r>
      <w:r>
        <w:rPr>
          <w:rFonts w:cs="WP TypographicSymbols" w:ascii="WP TypographicSymbols" w:hAnsi="WP TypographicSymbols"/>
          <w:sz w:val="24"/>
        </w:rPr>
        <w:sym w:font="WP TypographicSymbols" w:char="f03d"/>
      </w:r>
      <w:r>
        <w:rPr>
          <w:sz w:val="24"/>
        </w:rPr>
        <w:t>s load factor on its average transportation rate, assumes that the customer</w:t>
      </w:r>
      <w:r>
        <w:rPr>
          <w:rFonts w:cs="WP TypographicSymbols" w:ascii="WP TypographicSymbols" w:hAnsi="WP TypographicSymbols"/>
          <w:sz w:val="24"/>
        </w:rPr>
        <w:sym w:font="WP TypographicSymbols" w:char="f03d"/>
      </w:r>
      <w:r>
        <w:rPr>
          <w:sz w:val="24"/>
        </w:rPr>
        <w:t xml:space="preserve">s entire rate is collected in a demand charge.  </w:t>
      </w:r>
      <w:r>
        <w:rPr>
          <w:i/>
          <w:iCs/>
          <w:sz w:val="24"/>
        </w:rPr>
        <w:t xml:space="preserve">SCGC / TURN, at page 19.  </w:t>
      </w:r>
      <w:r>
        <w:rPr>
          <w:sz w:val="24"/>
        </w:rPr>
        <w:t>She fails to note that the demand charge for firm backbone transmission under the Comprehensive Settlement will be only about 20% of the total EG rate under the SFV rate option, and just 10% of the rate under the optional backbone rate with a 50% demand component.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sectPr>
          <w:footnotePr>
            <w:numFmt w:val="decimal"/>
          </w:footnotePr>
          <w:type w:val="continuous"/>
          <w:pgSz w:w="12240" w:h="15840"/>
          <w:pgMar w:left="1440" w:right="1440" w:gutter="0" w:header="0" w:top="1440" w:footer="1440" w:bottom="1496"/>
          <w:formProt w:val="false"/>
          <w:textDirection w:val="lrTb"/>
          <w:docGrid w:type="default" w:linePitch="360" w:charSpace="0"/>
        </w:sectPr>
      </w:pPr>
    </w:p>
    <w:p>
      <w:pPr>
        <w:pStyle w:val="Style14"/>
        <w:numPr>
          <w:ilvl w:val="0"/>
          <w:numId w:val="2"/>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t xml:space="preserve">Ms. Yap presents the results of </w:t>
      </w:r>
      <w:r>
        <w:rPr>
          <w:rFonts w:cs="WP TypographicSymbols" w:ascii="WP TypographicSymbols" w:hAnsi="WP TypographicSymbols"/>
          <w:sz w:val="24"/>
        </w:rPr>
        <w:sym w:font="WP TypographicSymbols" w:char="f041"/>
      </w:r>
      <w:r>
        <w:rPr>
          <w:sz w:val="24"/>
        </w:rPr>
        <w:t>a study of more than half of the generators in the Los Angeles basin</w:t>
      </w:r>
      <w:r>
        <w:rPr>
          <w:rFonts w:cs="WP TypographicSymbols" w:ascii="WP TypographicSymbols" w:hAnsi="WP TypographicSymbols"/>
          <w:sz w:val="24"/>
        </w:rPr>
        <w:sym w:font="WP TypographicSymbols" w:char="f040"/>
      </w:r>
      <w:r>
        <w:rPr>
          <w:sz w:val="24"/>
        </w:rPr>
        <w:t xml:space="preserve"> that purports to show that </w:t>
      </w:r>
      <w:r>
        <w:rPr>
          <w:rFonts w:cs="WP TypographicSymbols" w:ascii="WP TypographicSymbols" w:hAnsi="WP TypographicSymbols"/>
          <w:sz w:val="24"/>
        </w:rPr>
        <w:sym w:font="WP TypographicSymbols" w:char="f041"/>
      </w:r>
      <w:r>
        <w:rPr>
          <w:sz w:val="24"/>
        </w:rPr>
        <w:t>SFV-style</w:t>
      </w:r>
      <w:r>
        <w:rPr>
          <w:rFonts w:cs="WP TypographicSymbols" w:ascii="WP TypographicSymbols" w:hAnsi="WP TypographicSymbols"/>
          <w:sz w:val="24"/>
        </w:rPr>
        <w:sym w:font="WP TypographicSymbols" w:char="f040"/>
      </w:r>
      <w:r>
        <w:rPr>
          <w:sz w:val="24"/>
        </w:rPr>
        <w:t xml:space="preserve"> demand charges could increase annual fixed costs by </w:t>
      </w:r>
      <w:r>
        <w:rPr>
          <w:rFonts w:cs="WP TypographicSymbols" w:ascii="WP TypographicSymbols" w:hAnsi="WP TypographicSymbols"/>
          <w:sz w:val="24"/>
        </w:rPr>
        <w:sym w:font="WP TypographicSymbols" w:char="f041"/>
      </w:r>
      <w:r>
        <w:rPr>
          <w:sz w:val="24"/>
        </w:rPr>
        <w:t>as much as 20 percent.</w:t>
      </w:r>
      <w:r>
        <w:rPr>
          <w:rFonts w:cs="WP TypographicSymbols" w:ascii="WP TypographicSymbols" w:hAnsi="WP TypographicSymbols"/>
          <w:sz w:val="24"/>
        </w:rPr>
        <w:sym w:font="WP TypographicSymbols" w:char="f040"/>
      </w:r>
      <w:r>
        <w:rPr>
          <w:sz w:val="24"/>
        </w:rPr>
        <w:t xml:space="preserve">  </w:t>
      </w:r>
      <w:r>
        <w:rPr>
          <w:i/>
          <w:iCs/>
          <w:sz w:val="24"/>
        </w:rPr>
        <w:t xml:space="preserve">SCGC / TURN, at page 21, lines15 - 18.   </w:t>
      </w:r>
      <w:r>
        <w:rPr>
          <w:sz w:val="24"/>
        </w:rPr>
        <w:t xml:space="preserve">I have examined the workpapers for this study, and it is based on wholly unrealistic assumptions for how generators will buy gas under the Comprehensive Settlement.  First, the study assumes that each generator will contract at the SFV rate proposed in the Comprehensive Settlement for a quantity of firm backbone capacity based on its </w:t>
      </w:r>
      <w:r>
        <w:rPr>
          <w:b/>
          <w:bCs/>
          <w:sz w:val="24"/>
        </w:rPr>
        <w:t>theoretical</w:t>
      </w:r>
      <w:r>
        <w:rPr>
          <w:sz w:val="24"/>
        </w:rPr>
        <w:t xml:space="preserve"> </w:t>
      </w:r>
      <w:r>
        <w:rPr>
          <w:b/>
          <w:bCs/>
          <w:sz w:val="24"/>
        </w:rPr>
        <w:t xml:space="preserve">maximum gas use in a day </w:t>
      </w:r>
      <w:r>
        <w:rPr>
          <w:sz w:val="24"/>
        </w:rPr>
        <w:t>(that is, its generating capacity in MW, times its average heat rate, times 24 hours).  Apparently, this assumption is made regardless of whether the plant has actually ever used that much gas in a single day.  The plants studied are mostly intermediate-load or peaking units, and almost certainly never operate at anything approaching full capacity for all 24 hours of a day.  As a result of this assumption, the plants studied are assumed to contract for 1,426 MDth per day of backbone capacity.  According to the study, these units represent 43% (i.e. less than one-half) of the gas-fired capacity in the Los Angeles Basin.  If all generators in the basin contracted for capacity in this way, electric generators alone would demand 3,316 MDth per day of capacity, or 93% of SoCalGas</w:t>
      </w:r>
      <w:r>
        <w:rPr>
          <w:rFonts w:cs="WP TypographicSymbols" w:ascii="WP TypographicSymbols" w:hAnsi="WP TypographicSymbols"/>
          <w:sz w:val="24"/>
        </w:rPr>
        <w:sym w:font="WP TypographicSymbols" w:char="f03d"/>
      </w:r>
      <w:r>
        <w:rPr>
          <w:sz w:val="24"/>
        </w:rPr>
        <w:t xml:space="preserve"> total receipt point capacity!  There is obviously no such demand today for firm service on the SoCalGas system.  Second, the study assumes that the generators make no effort to broker, release, or sell the massive amount of excess capacity that they have bought, and thus derive no revenues from such off-peak capacity sales.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rPr/>
      </w:pPr>
      <w:r>
        <w:rPr>
          <w:sz w:val="24"/>
        </w:rPr>
        <w:t>The study</w:t>
      </w:r>
      <w:r>
        <w:rPr>
          <w:rFonts w:cs="WP TypographicSymbols" w:ascii="WP TypographicSymbols" w:hAnsi="WP TypographicSymbols"/>
          <w:sz w:val="24"/>
        </w:rPr>
        <w:sym w:font="WP TypographicSymbols" w:char="f03d"/>
      </w:r>
      <w:r>
        <w:rPr>
          <w:sz w:val="24"/>
        </w:rPr>
        <w:t xml:space="preserve">s dire picture of the impact of demand charges on low-load factor generators assumes that such generators massively over-contract for capacity, and fail to take advantage of the numerous means available under the Comprehensive Settlement to reduce or eliminate their demand charge risks: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1"/>
        <w:numPr>
          <w:ilvl w:val="0"/>
          <w:numId w:val="3"/>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t xml:space="preserve">The Comprehensive Settlement offers </w:t>
      </w:r>
      <w:r>
        <w:rPr>
          <w:b/>
          <w:bCs/>
          <w:sz w:val="24"/>
        </w:rPr>
        <w:t>an optional backbone rate with a 50% demand charge</w:t>
      </w:r>
      <w:r>
        <w:rPr>
          <w:sz w:val="24"/>
        </w:rPr>
        <w:t xml:space="preserve"> that almost halves the demand charge risk, but offers the same firm priority as the SFV demand charge.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1"/>
        <w:numPr>
          <w:ilvl w:val="0"/>
          <w:numId w:val="3"/>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t xml:space="preserve">Under the comprehensive settlement, </w:t>
      </w:r>
      <w:r>
        <w:rPr>
          <w:b/>
          <w:bCs/>
          <w:sz w:val="24"/>
        </w:rPr>
        <w:t>interruptible service at volumetric rates</w:t>
      </w:r>
      <w:r>
        <w:rPr>
          <w:sz w:val="24"/>
        </w:rPr>
        <w:t xml:space="preserve"> is always available at no more than a 20% premium over firm backbone rates, and may even be available at less than the firm backbone rates, particularly during low-demand periods.  With a backbone rate of $0.0719 per Dth, this premium is no more than $0.0144 per Dth.  Ms. Yap observes (on page 14, lines 17-18) that the interstate pipelines supplying SoCalGas have at least 1,000 MMcf/d (or 30%) more capacity than SoCalGas</w:t>
      </w:r>
      <w:r>
        <w:rPr>
          <w:rFonts w:cs="WP TypographicSymbols" w:ascii="WP TypographicSymbols" w:hAnsi="WP TypographicSymbols"/>
          <w:sz w:val="24"/>
        </w:rPr>
        <w:sym w:font="WP TypographicSymbols" w:char="f03d"/>
      </w:r>
      <w:r>
        <w:rPr>
          <w:sz w:val="24"/>
        </w:rPr>
        <w:t xml:space="preserve"> intrastate system.  She does </w:t>
      </w:r>
      <w:r>
        <w:rPr>
          <w:b/>
          <w:bCs/>
          <w:sz w:val="24"/>
        </w:rPr>
        <w:t>not</w:t>
      </w:r>
      <w:r>
        <w:rPr>
          <w:sz w:val="24"/>
        </w:rPr>
        <w:t xml:space="preserve"> recognize that SoCalGas</w:t>
      </w:r>
      <w:r>
        <w:rPr>
          <w:rFonts w:cs="WP TypographicSymbols" w:ascii="WP TypographicSymbols" w:hAnsi="WP TypographicSymbols"/>
          <w:sz w:val="24"/>
        </w:rPr>
        <w:sym w:font="WP TypographicSymbols" w:char="f03d"/>
      </w:r>
      <w:r>
        <w:rPr>
          <w:sz w:val="24"/>
        </w:rPr>
        <w:t xml:space="preserve"> backbone system also has more than 900 MMcf/d of excess capacity, plus substantial excess storage capacity.</w:t>
      </w:r>
      <w:r>
        <w:rPr>
          <w:rStyle w:val="FootnoteCharacters"/>
          <w:rStyle w:val="FootnoteReference"/>
          <w:sz w:val="24"/>
          <w:vertAlign w:val="superscript"/>
        </w:rPr>
        <w:footnoteReference w:id="4"/>
      </w:r>
      <w:r>
        <w:rPr>
          <w:sz w:val="24"/>
        </w:rPr>
        <w:t xml:space="preserve">  Due to this excess intrastate capacity, it is difficult to imagine a scenario, for the forseeable future, in which a low-load factor generator would ever have to pay above the interruptible rate for </w:t>
      </w:r>
      <w:r>
        <w:rPr>
          <w:rFonts w:cs="WP TypographicSymbols" w:ascii="WP TypographicSymbols" w:hAnsi="WP TypographicSymbols"/>
          <w:sz w:val="24"/>
        </w:rPr>
        <w:sym w:font="WP TypographicSymbols" w:char="f041"/>
      </w:r>
      <w:r>
        <w:rPr>
          <w:sz w:val="24"/>
        </w:rPr>
        <w:t>virtually firm</w:t>
      </w:r>
      <w:r>
        <w:rPr>
          <w:rFonts w:cs="WP TypographicSymbols" w:ascii="WP TypographicSymbols" w:hAnsi="WP TypographicSymbols"/>
          <w:sz w:val="24"/>
        </w:rPr>
        <w:sym w:font="WP TypographicSymbols" w:char="f040"/>
      </w:r>
      <w:r>
        <w:rPr>
          <w:sz w:val="24"/>
        </w:rPr>
        <w:t xml:space="preserve"> backbone service.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0" w:end="0"/>
        <w:rPr/>
      </w:pPr>
      <w:r>
        <w:rPr>
          <w:sz w:val="24"/>
        </w:rPr>
        <w:t>I have re-calculated the results of the SCGC / TURN study, under the assumption that generators in the Los Angeles basin take interruptible service, in order to avoid demand charges, at the full $0.0144 per Dth premium for interruptible service.  In this case, the generators</w:t>
      </w:r>
      <w:r>
        <w:rPr>
          <w:rFonts w:cs="WP TypographicSymbols" w:ascii="WP TypographicSymbols" w:hAnsi="WP TypographicSymbols"/>
          <w:sz w:val="24"/>
        </w:rPr>
        <w:sym w:font="WP TypographicSymbols" w:char="f03d"/>
      </w:r>
      <w:r>
        <w:rPr>
          <w:sz w:val="24"/>
        </w:rPr>
        <w:t xml:space="preserve"> annual fixed costs increase by just six-tenths of one percent (0.6%).  In reality, I expect that interruptible or released firm service will be available for much of the year at all-volumetric rates that are much less than the maximum interruptible rate.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sectPr>
          <w:footnotePr>
            <w:numFmt w:val="decimal"/>
          </w:footnotePr>
          <w:type w:val="continuous"/>
          <w:pgSz w:w="12240" w:h="15840"/>
          <w:pgMar w:left="1440" w:right="1440" w:gutter="0" w:header="0" w:top="1440" w:footer="1440" w:bottom="1496"/>
          <w:formProt w:val="false"/>
          <w:textDirection w:val="lrTb"/>
          <w:docGrid w:type="default" w:linePitch="360" w:charSpace="0"/>
        </w:sectPr>
      </w:pPr>
    </w:p>
    <w:p>
      <w:pPr>
        <w:pStyle w:val="1"/>
        <w:numPr>
          <w:ilvl w:val="0"/>
          <w:numId w:val="3"/>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t xml:space="preserve">The Comprehensive Settlement will establish </w:t>
      </w:r>
      <w:r>
        <w:rPr>
          <w:b/>
          <w:bCs/>
          <w:sz w:val="24"/>
        </w:rPr>
        <w:t>an active market for the trading of backbone capacity</w:t>
      </w:r>
      <w:r>
        <w:rPr>
          <w:sz w:val="24"/>
        </w:rPr>
        <w:t xml:space="preserve"> on the SoCalGas system.  This will provide a means for electric generators to rationalize their holdings of intrastate capacity, and may be a source of firm capacity at volumetric rates.  Again, the SCGC / TURN study of the impact of demand charges assumes that generators do not use this secondary market.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1"/>
        <w:numPr>
          <w:ilvl w:val="0"/>
          <w:numId w:val="3"/>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t xml:space="preserve">Ms. Yap fails to recognize that low-load factor generators will be able to avoid paying demand charges (and save money on intrastate transportation, as well) by </w:t>
      </w:r>
      <w:r>
        <w:rPr>
          <w:b/>
          <w:bCs/>
          <w:sz w:val="24"/>
        </w:rPr>
        <w:t>buying gas in the city-gate market</w:t>
      </w:r>
      <w:r>
        <w:rPr>
          <w:sz w:val="24"/>
        </w:rPr>
        <w:t>.  Ms. Yap</w:t>
      </w:r>
      <w:r>
        <w:rPr>
          <w:rFonts w:cs="WP TypographicSymbols" w:ascii="WP TypographicSymbols" w:hAnsi="WP TypographicSymbols"/>
          <w:sz w:val="24"/>
        </w:rPr>
        <w:sym w:font="WP TypographicSymbols" w:char="f03d"/>
      </w:r>
      <w:r>
        <w:rPr>
          <w:sz w:val="24"/>
        </w:rPr>
        <w:t xml:space="preserve">s primary concern with the city-gate market appears to be the fear that marketers will be able to charge a significant premium for city-gate sales during periods of capacity constraints.  </w:t>
      </w:r>
      <w:r>
        <w:rPr>
          <w:i/>
          <w:iCs/>
          <w:sz w:val="24"/>
        </w:rPr>
        <w:t>SCGC / TURN, at page 14, line 22 to page 15, line 19.</w:t>
      </w:r>
      <w:r>
        <w:rPr>
          <w:sz w:val="24"/>
        </w:rPr>
        <w:t xml:space="preserve"> Ms. Yap</w:t>
      </w:r>
      <w:r>
        <w:rPr>
          <w:rFonts w:cs="WP TypographicSymbols" w:ascii="WP TypographicSymbols" w:hAnsi="WP TypographicSymbols"/>
          <w:sz w:val="24"/>
        </w:rPr>
        <w:sym w:font="WP TypographicSymbols" w:char="f03d"/>
      </w:r>
      <w:r>
        <w:rPr>
          <w:sz w:val="24"/>
        </w:rPr>
        <w:t xml:space="preserve">s testimony fails to explain her assertion that the city-gate market could become a </w:t>
      </w:r>
      <w:r>
        <w:rPr>
          <w:rFonts w:cs="WP TypographicSymbols" w:ascii="WP TypographicSymbols" w:hAnsi="WP TypographicSymbols"/>
          <w:sz w:val="24"/>
        </w:rPr>
        <w:sym w:font="WP TypographicSymbols" w:char="f041"/>
      </w:r>
      <w:r>
        <w:rPr>
          <w:sz w:val="24"/>
        </w:rPr>
        <w:t>bottleneck</w:t>
      </w:r>
      <w:r>
        <w:rPr>
          <w:rFonts w:cs="WP TypographicSymbols" w:ascii="WP TypographicSymbols" w:hAnsi="WP TypographicSymbols"/>
          <w:sz w:val="24"/>
        </w:rPr>
        <w:sym w:font="WP TypographicSymbols" w:char="f040"/>
      </w:r>
      <w:r>
        <w:rPr>
          <w:sz w:val="24"/>
        </w:rPr>
        <w:t xml:space="preserve"> on the SoCalGas system.  Upstream of the city-gate market, SoCalGas will have over 900 MMcf/d of excess backbone capacity, plus significant amounts of unused storage capacity.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0" w:end="0"/>
        <w:rPr>
          <w:sz w:val="24"/>
        </w:rPr>
      </w:pPr>
      <w:r>
        <w:rPr>
          <w:sz w:val="24"/>
        </w:rPr>
        <w:t>Ms. Yap</w:t>
      </w:r>
      <w:r>
        <w:rPr>
          <w:rFonts w:cs="WP TypographicSymbols" w:ascii="WP TypographicSymbols" w:hAnsi="WP TypographicSymbols"/>
          <w:sz w:val="24"/>
        </w:rPr>
        <w:sym w:font="WP TypographicSymbols" w:char="f03d"/>
      </w:r>
      <w:r>
        <w:rPr>
          <w:sz w:val="24"/>
        </w:rPr>
        <w:t xml:space="preserve">s </w:t>
      </w:r>
      <w:r>
        <w:rPr>
          <w:rFonts w:cs="WP TypographicSymbols" w:ascii="WP TypographicSymbols" w:hAnsi="WP TypographicSymbols"/>
          <w:sz w:val="24"/>
        </w:rPr>
        <w:sym w:font="WP TypographicSymbols" w:char="f041"/>
      </w:r>
      <w:r>
        <w:rPr>
          <w:sz w:val="24"/>
        </w:rPr>
        <w:t>bottlenecks</w:t>
      </w:r>
      <w:r>
        <w:rPr>
          <w:rFonts w:cs="WP TypographicSymbols" w:ascii="WP TypographicSymbols" w:hAnsi="WP TypographicSymbols"/>
          <w:sz w:val="24"/>
        </w:rPr>
        <w:sym w:font="WP TypographicSymbols" w:char="f040"/>
      </w:r>
      <w:r>
        <w:rPr>
          <w:sz w:val="24"/>
        </w:rPr>
        <w:t xml:space="preserve"> and marketer-manipulated high prices have not materialized in two years</w:t>
      </w:r>
      <w:r>
        <w:rPr>
          <w:rFonts w:cs="WP TypographicSymbols" w:ascii="WP TypographicSymbols" w:hAnsi="WP TypographicSymbols"/>
          <w:sz w:val="24"/>
        </w:rPr>
        <w:sym w:font="WP TypographicSymbols" w:char="f03d"/>
      </w:r>
      <w:r>
        <w:rPr>
          <w:sz w:val="24"/>
        </w:rPr>
        <w:t xml:space="preserve"> of experience with the PG&amp;E city-gate market, even though PG&amp;E has less excess transmission capacity and far less storage capacity than SoCalGas.</w:t>
      </w:r>
      <w:r>
        <w:rPr>
          <w:rStyle w:val="FootnoteCharacters"/>
          <w:rStyle w:val="FootnoteReference"/>
          <w:sz w:val="24"/>
          <w:vertAlign w:val="superscript"/>
        </w:rPr>
        <w:footnoteReference w:id="5"/>
      </w:r>
      <w:r>
        <w:rPr>
          <w:sz w:val="24"/>
        </w:rPr>
        <w:t xml:space="preserve">   PG&amp;E city-gate prices did experience one brief spike, due to very high demand during the cold snap just prior to Christmas in 1998, but on average PG&amp;E city-gate prices have provided significant benefits to end users, compared to purchases at the California border.  In addition, the data that Mr. Weil cites on the parties holding capacity on the PG&amp;E system shows that 75 parties hold capacity on the Redwood path alone, and does not suggest any undue concentration of capacity holdings on the PG&amp;E backbone system.  </w:t>
      </w:r>
      <w:r>
        <w:rPr>
          <w:i/>
          <w:iCs/>
          <w:sz w:val="24"/>
        </w:rPr>
        <w:t>Ibid., Table 1, page 13.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sectPr>
          <w:footnotePr>
            <w:numFmt w:val="decimal"/>
          </w:footnotePr>
          <w:type w:val="continuous"/>
          <w:pgSz w:w="12240" w:h="15840"/>
          <w:pgMar w:left="1440" w:right="1440" w:gutter="0" w:header="0" w:top="1440" w:footer="1440" w:bottom="1496"/>
          <w:formProt w:val="false"/>
          <w:textDirection w:val="lrTb"/>
          <w:docGrid w:type="default" w:linePitch="36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0" w:end="0"/>
        <w:rPr>
          <w:sz w:val="24"/>
        </w:rPr>
      </w:pPr>
      <w:r>
        <w:rPr>
          <w:sz w:val="24"/>
        </w:rPr>
        <w:t xml:space="preserve">Furthermore, the Comprehensive Settlement has numerous provisions to ensure that any one marketer will be unlikely to accumulate a dominant share of capacity to the SoCalGas city-gate market.  First, noncore end use customers will have an initial two open seasons in which to subscribe to up to 50% of the available backbone capacity, without competition from marketers.  This should ensure that end users that are interested in holding capacity will be able to acquire the capacity that they desire, and is likely to lead to an even greater number of holders of capacity than resulted from the Gas Accord open season, in which end users and marketers competed together.  Second, the Comprehensive Settlement limits any one party from holding, at the end of the open season process, more than 40% of the intrastate capacity from any individual SoCalGas receipt point.  Third, if any party attempts to withhold firm intrastate capacity, in an effort to drive up prices, that capacity will be available for SoCalGas to sell as interruptible service, and SoCalGas will have a strong incentive to market such capacity, because it is 100% at risk for the recovery of backbone transmission costs.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pPr>
      <w:r>
        <w:rPr>
          <w:sz w:val="24"/>
        </w:rPr>
        <w:t xml:space="preserve">The SCGC / TURN testimony tries to portray low-load factor generators as caught in a </w:t>
      </w:r>
      <w:r>
        <w:rPr>
          <w:rFonts w:cs="WP TypographicSymbols" w:ascii="WP TypographicSymbols" w:hAnsi="WP TypographicSymbols"/>
          <w:sz w:val="24"/>
        </w:rPr>
        <w:sym w:font="WP TypographicSymbols" w:char="f041"/>
      </w:r>
      <w:r>
        <w:rPr>
          <w:sz w:val="24"/>
        </w:rPr>
        <w:t>price squeeze</w:t>
      </w:r>
      <w:r>
        <w:rPr>
          <w:rFonts w:cs="WP TypographicSymbols" w:ascii="WP TypographicSymbols" w:hAnsi="WP TypographicSymbols"/>
          <w:sz w:val="24"/>
        </w:rPr>
        <w:sym w:font="WP TypographicSymbols" w:char="f040"/>
      </w:r>
      <w:r>
        <w:rPr>
          <w:sz w:val="24"/>
        </w:rPr>
        <w:t xml:space="preserve"> between capped PX prices and increased fixed operating costs due to the imposition of demand charges for intrastate transmission.  The testimony paints a dire picture of plants closing, and jobs lost, in the Los Angeles Basin.  However, there are a number of elements in this picture that simply do not add up: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Style14"/>
        <w:numPr>
          <w:ilvl w:val="0"/>
          <w:numId w:val="2"/>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t>The testimony appears to assume that low-load factor generators pay the demand charges, and take none of the steps discussed above to mitigate or eliminate the impact of demand charges.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Style14"/>
        <w:numPr>
          <w:ilvl w:val="0"/>
          <w:numId w:val="2"/>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t xml:space="preserve">The testimony does not recognize that there will be a $3 million dollar </w:t>
      </w:r>
      <w:r>
        <w:rPr>
          <w:b/>
          <w:bCs/>
          <w:sz w:val="24"/>
        </w:rPr>
        <w:t>reduction</w:t>
      </w:r>
      <w:r>
        <w:rPr>
          <w:sz w:val="24"/>
        </w:rPr>
        <w:t xml:space="preserve"> in rates to the EG class as a result of the Comprehensive Settlement.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Style14"/>
        <w:numPr>
          <w:ilvl w:val="0"/>
          <w:numId w:val="2"/>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t>The testimony asserts that the increases in operating costs as a result of demand charges will be serious enough to force plants to close.  Even accepting SCGC / TURN</w:t>
      </w:r>
      <w:r>
        <w:rPr>
          <w:rFonts w:cs="WP TypographicSymbols" w:ascii="WP TypographicSymbols" w:hAnsi="WP TypographicSymbols"/>
          <w:sz w:val="24"/>
        </w:rPr>
        <w:sym w:font="WP TypographicSymbols" w:char="f03d"/>
      </w:r>
      <w:r>
        <w:rPr>
          <w:sz w:val="24"/>
        </w:rPr>
        <w:t>s inflated figure of a 20% increase in fixed costs, SCGC / TURN provide no financial data that substantiates their assertion that an increase of this magnitude is likely to force a significant number of plants to close.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Style14"/>
        <w:numPr>
          <w:ilvl w:val="0"/>
          <w:numId w:val="2"/>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t xml:space="preserve">SCGC / TURN fail to appreciate the logical way to avoid the </w:t>
      </w:r>
      <w:r>
        <w:rPr>
          <w:rFonts w:cs="WP TypographicSymbols" w:ascii="WP TypographicSymbols" w:hAnsi="WP TypographicSymbols"/>
          <w:sz w:val="24"/>
        </w:rPr>
        <w:sym w:font="WP TypographicSymbols" w:char="f041"/>
      </w:r>
      <w:r>
        <w:rPr>
          <w:sz w:val="24"/>
        </w:rPr>
        <w:t>price squeeze</w:t>
      </w:r>
      <w:r>
        <w:rPr>
          <w:rFonts w:cs="WP TypographicSymbols" w:ascii="WP TypographicSymbols" w:hAnsi="WP TypographicSymbols"/>
          <w:sz w:val="24"/>
        </w:rPr>
        <w:sym w:font="WP TypographicSymbols" w:char="f040"/>
      </w:r>
      <w:r>
        <w:rPr>
          <w:sz w:val="24"/>
        </w:rPr>
        <w:t xml:space="preserve"> that they so fear: buy gas in the SoCalGas city-gate market.  City-gate buyers will avoid paying demand charges, so their fixed operating costs will not increase.  In addition, the SoCalGas city-gate market is likely to be the gas market that is most tightly linked to electric prices in southern California, because it will be the closest market to the generators</w:t>
      </w:r>
      <w:r>
        <w:rPr>
          <w:rFonts w:cs="WP TypographicSymbols" w:ascii="WP TypographicSymbols" w:hAnsi="WP TypographicSymbols"/>
          <w:sz w:val="24"/>
        </w:rPr>
        <w:sym w:font="WP TypographicSymbols" w:char="f03d"/>
      </w:r>
      <w:r>
        <w:rPr>
          <w:sz w:val="24"/>
        </w:rPr>
        <w:t xml:space="preserve"> point of consumption and because almost 60% of noncore loads on the SoCalGas / SDG&amp;E system are electric generators.  As a result, generators buying gas in the SoCalGas city-gate market will have the highest assurance that changes in their gas costs will be reflected in changes in electric prices, thus reducing the risk of a </w:t>
      </w:r>
      <w:r>
        <w:rPr>
          <w:rFonts w:cs="WP TypographicSymbols" w:ascii="WP TypographicSymbols" w:hAnsi="WP TypographicSymbols"/>
          <w:sz w:val="24"/>
        </w:rPr>
        <w:sym w:font="WP TypographicSymbols" w:char="f041"/>
      </w:r>
      <w:r>
        <w:rPr>
          <w:sz w:val="24"/>
        </w:rPr>
        <w:t>price squeeze between gas and electric prices.  This has certainly been the case in northern California.  Straightforward statistical analyses that I have performed show that the PG&amp;E city-gate gas price is more highly correlated to PX electric prices than are gas prices in any other market in the state, presumably because electric generators in northern California use that market and because it is the closest market to the generators</w:t>
      </w:r>
      <w:r>
        <w:rPr>
          <w:rFonts w:cs="WP TypographicSymbols" w:ascii="WP TypographicSymbols" w:hAnsi="WP TypographicSymbols"/>
          <w:sz w:val="24"/>
        </w:rPr>
        <w:sym w:font="WP TypographicSymbols" w:char="f03d"/>
      </w:r>
      <w:r>
        <w:rPr>
          <w:sz w:val="24"/>
        </w:rPr>
        <w:t xml:space="preserve"> burner tips.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sectPr>
          <w:footnotePr>
            <w:numFmt w:val="decimal"/>
          </w:footnotePr>
          <w:type w:val="continuous"/>
          <w:pgSz w:w="12240" w:h="15840"/>
          <w:pgMar w:left="1440" w:right="1440" w:gutter="0" w:header="0" w:top="1440" w:footer="1440" w:bottom="1496"/>
          <w:formProt w:val="false"/>
          <w:textDirection w:val="lrTb"/>
          <w:docGrid w:type="default" w:linePitch="360" w:charSpace="0"/>
        </w:sectPr>
      </w:pPr>
    </w:p>
    <w:p>
      <w:pPr>
        <w:pStyle w:val="Style14"/>
        <w:numPr>
          <w:ilvl w:val="0"/>
          <w:numId w:val="2"/>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t xml:space="preserve">SCGC / TURN attempt to argue that the closure of low-load factor plants in the Los Angeles Basin, due to the imposition of demand charges, will have serious implications for electric reliability.  </w:t>
      </w:r>
      <w:r>
        <w:rPr>
          <w:i/>
          <w:iCs/>
          <w:sz w:val="24"/>
        </w:rPr>
        <w:t xml:space="preserve">SCGC / TURN, at page 24, line 19 to page 24, line 31.  </w:t>
      </w:r>
      <w:r>
        <w:rPr>
          <w:sz w:val="24"/>
        </w:rPr>
        <w:t xml:space="preserve">At the same time, SCGC / TURN argue that generators will not be able to recover demand charges because less than 20% of the capacity in the basin is under Reliability Must-Run (RMR) contracts and that there is </w:t>
      </w:r>
      <w:r>
        <w:rPr>
          <w:rFonts w:cs="WP TypographicSymbols" w:ascii="WP TypographicSymbols" w:hAnsi="WP TypographicSymbols"/>
          <w:sz w:val="24"/>
        </w:rPr>
        <w:sym w:font="WP TypographicSymbols" w:char="f041"/>
      </w:r>
      <w:r>
        <w:rPr>
          <w:sz w:val="24"/>
        </w:rPr>
        <w:t>intense competition</w:t>
      </w:r>
      <w:r>
        <w:rPr>
          <w:rFonts w:cs="WP TypographicSymbols" w:ascii="WP TypographicSymbols" w:hAnsi="WP TypographicSymbols"/>
          <w:sz w:val="24"/>
        </w:rPr>
        <w:sym w:font="WP TypographicSymbols" w:char="f040"/>
      </w:r>
      <w:r>
        <w:rPr>
          <w:sz w:val="24"/>
        </w:rPr>
        <w:t xml:space="preserve"> for available RMR contracts.  Yet the lack of RMR contracts in the basin is due to the fact that there is enough capacity in the basin to provide more-than-adequate reliability and to assure that few generators can exercise local market power.  If some generators in the Los Angeles Basin go out of business due to demand charges, a more likely scenario than blackouts is that PX prices will rise in southern California, the ISO will make available more RMR contracts in the basin, and those contracts will provide a higher level of cost recovery, thus offsetting the impact of the demand charges.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sz w:val="24"/>
        </w:rPr>
      </w:pPr>
      <w:r>
        <w:rPr>
          <w:sz w:val="24"/>
        </w:rPr>
        <w:t>This completes my rebuttal testimony.</w:t>
      </w:r>
    </w:p>
    <w:sectPr>
      <w:footnotePr>
        <w:numFmt w:val="decimal"/>
      </w:footnotePr>
      <w:type w:val="continuous"/>
      <w:pgSz w:w="12240" w:h="15840"/>
      <w:pgMar w:left="1440" w:right="1440" w:gutter="0" w:header="0" w:top="1440" w:footer="1440" w:bottom="1496"/>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P MathA">
    <w:charset w:val="02"/>
    <w:family w:val="auto"/>
    <w:pitch w:val="variable"/>
  </w:font>
  <w:font w:name="Liberation Sans">
    <w:altName w:val="Arial"/>
    <w:charset w:val="01" w:characterSet="utf-8"/>
    <w:family w:val="swiss"/>
    <w:pitch w:val="variable"/>
  </w:font>
  <w:font w:name="WP TypographicSymbol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clear" w:pos="720"/>
        <w:tab w:val="right" w:pos="9360" w:leader="none"/>
      </w:tabs>
      <w:rPr/>
    </w:pPr>
    <w:r>
      <w:rPr>
        <w:i/>
        <w:iCs/>
        <w:sz w:val="24"/>
      </w:rPr>
      <w:tab/>
    </w:r>
    <w:r>
      <w:rPr>
        <w:i/>
        <w:iCs/>
        <w:sz w:val="26"/>
        <w:szCs w:val="26"/>
      </w:rPr>
      <w:t>Crossborder Energy</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before="0" w:after="240"/>
        <w:ind w:firstLine="720" w:end="0"/>
        <w:rPr/>
      </w:pPr>
      <w:r>
        <w:rPr>
          <w:rStyle w:val="FootnoteCharacters"/>
        </w:rPr>
        <w:footnoteRef/>
      </w:r>
      <w:r>
        <w:rPr>
          <w:sz w:val="24"/>
        </w:rPr>
        <w:t xml:space="preserve">   </w:t>
      </w:r>
      <w:r>
        <w:rPr>
          <w:sz w:val="24"/>
        </w:rPr>
        <w:t>The sponsors of this testimony include the California Cogeneration Council, Calpine, Dynegy, Southern California Edison, and the Watson Cogeneration Company.</w:t>
      </w:r>
    </w:p>
  </w:footnote>
  <w:footnote w:id="3">
    <w:p>
      <w:pPr>
        <w:pStyle w:val="Normal"/>
        <w:spacing w:before="0" w:after="240"/>
        <w:ind w:firstLine="720" w:end="0"/>
        <w:rPr/>
      </w:pPr>
      <w:r>
        <w:rPr>
          <w:rStyle w:val="FootnoteCharacters"/>
        </w:rPr>
        <w:footnoteRef/>
      </w:r>
      <w:r>
        <w:rPr>
          <w:sz w:val="24"/>
        </w:rPr>
        <w:t xml:space="preserve">   </w:t>
      </w:r>
      <w:r>
        <w:rPr>
          <w:sz w:val="24"/>
        </w:rPr>
        <w:t>The CCC and Dynegy signed the Interim Settlement filed with the Commission on December 27, 1999.  Nothing in this testimony should be construed as opposition by these parties to any element of the Interim Settlement.</w:t>
      </w:r>
    </w:p>
  </w:footnote>
  <w:footnote w:id="4">
    <w:p>
      <w:pPr>
        <w:pStyle w:val="Normal"/>
        <w:spacing w:before="0" w:after="240"/>
        <w:ind w:firstLine="720" w:end="0"/>
        <w:rPr/>
      </w:pPr>
      <w:r>
        <w:rPr>
          <w:rStyle w:val="FootnoteCharacters"/>
        </w:rPr>
        <w:footnoteRef/>
      </w:r>
      <w:r>
        <w:rPr>
          <w:sz w:val="24"/>
        </w:rPr>
        <w:t xml:space="preserve">   </w:t>
      </w:r>
      <w:r>
        <w:rPr>
          <w:sz w:val="24"/>
        </w:rPr>
        <w:t>SoCalGas</w:t>
      </w:r>
      <w:r>
        <w:rPr>
          <w:rFonts w:cs="WP TypographicSymbols" w:ascii="WP TypographicSymbols" w:hAnsi="WP TypographicSymbols"/>
          <w:sz w:val="24"/>
        </w:rPr>
        <w:sym w:font="WP TypographicSymbols" w:char="f03d"/>
      </w:r>
      <w:r>
        <w:rPr>
          <w:sz w:val="24"/>
        </w:rPr>
        <w:t xml:space="preserve"> total receipt point capacity is 3,500 MMcf/d.  The recently-adopted BCAP throughput forecast for SoCalGas in 2000 - 2002 is 2,563 MMcf/d. </w:t>
      </w:r>
    </w:p>
  </w:footnote>
  <w:footnote w:id="5">
    <w:p>
      <w:pPr>
        <w:pStyle w:val="Normal"/>
        <w:spacing w:before="0" w:after="240"/>
        <w:ind w:firstLine="720" w:end="0"/>
        <w:rPr/>
      </w:pPr>
      <w:r>
        <w:rPr>
          <w:rStyle w:val="FootnoteCharacters"/>
        </w:rPr>
        <w:footnoteRef/>
      </w:r>
      <w:r>
        <w:rPr>
          <w:sz w:val="24"/>
        </w:rPr>
        <w:t xml:space="preserve">   </w:t>
      </w:r>
      <w:r>
        <w:rPr>
          <w:b/>
          <w:bCs/>
          <w:i/>
          <w:iCs/>
          <w:sz w:val="24"/>
        </w:rPr>
        <w:t>Cite CGR figures for PG&amp;E</w:t>
      </w:r>
      <w:r>
        <w:rPr>
          <w:rFonts w:cs="WP TypographicSymbols" w:ascii="WP TypographicSymbols" w:hAnsi="WP TypographicSymbols"/>
          <w:b/>
          <w:bCs/>
          <w:i/>
          <w:iCs/>
          <w:sz w:val="24"/>
        </w:rPr>
        <w:sym w:font="WP TypographicSymbols" w:char="f03d"/>
      </w:r>
      <w:r>
        <w:rPr>
          <w:b/>
          <w:bCs/>
          <w:i/>
          <w:iCs/>
          <w:sz w:val="24"/>
        </w:rPr>
        <w:t xml:space="preserve">s more limited excess pipeline capacity.  </w:t>
      </w:r>
      <w:r>
        <w:rPr>
          <w:sz w:val="24"/>
        </w:rPr>
        <w:t>PG&amp;E has 39.7 Bcf of storage inventory, compared to SoCalGas</w:t>
      </w:r>
      <w:r>
        <w:rPr>
          <w:rFonts w:cs="WP TypographicSymbols" w:ascii="WP TypographicSymbols" w:hAnsi="WP TypographicSymbols"/>
          <w:sz w:val="24"/>
        </w:rPr>
        <w:sym w:font="WP TypographicSymbols" w:char="f03d"/>
      </w:r>
      <w:r>
        <w:rPr>
          <w:sz w:val="24"/>
        </w:rPr>
        <w:t xml:space="preserve"> 105.6 Bcf (excluding Montebello).</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0" w:hanging="0"/>
      </w:pPr>
      <w:rPr>
        <w:b/>
      </w:rPr>
    </w:lvl>
  </w:abstractNum>
  <w:abstractNum w:abstractNumId="2">
    <w:lvl w:ilvl="0">
      <w:numFmt w:val="bullet"/>
      <w:lvlText w:val=""/>
      <w:lvlJc w:val="start"/>
      <w:pPr>
        <w:tabs>
          <w:tab w:val="num" w:pos="720"/>
        </w:tabs>
        <w:ind w:start="720" w:hanging="720"/>
      </w:pPr>
      <w:rPr>
        <w:rFonts w:ascii="WP MathA" w:hAnsi="WP MathA" w:cs="WP MathA" w:hint="default"/>
      </w:rPr>
    </w:lvl>
  </w:abstractNum>
  <w:abstractNum w:abstractNumId="3">
    <w:lvl w:ilvl="0">
      <w:numFmt w:val="bullet"/>
      <w:lvlText w:val=""/>
      <w:lvlJc w:val="start"/>
      <w:pPr>
        <w:tabs>
          <w:tab w:val="num" w:pos="720"/>
        </w:tabs>
        <w:ind w:start="1440" w:hanging="720"/>
      </w:pPr>
      <w:rPr>
        <w:rFonts w:ascii="WP MathA" w:hAnsi="WP MathA" w:cs="WP MathA" w:hint="default"/>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character" w:styleId="WW8Num2z0">
    <w:name w:val="WW8Num2z0"/>
    <w:qFormat/>
    <w:rPr>
      <w:b/>
    </w:rPr>
  </w:style>
  <w:style w:type="character" w:styleId="WW8NumSt2z0">
    <w:name w:val="WW8NumSt2z0"/>
    <w:qFormat/>
    <w:rPr>
      <w:rFonts w:ascii="WP MathA" w:hAnsi="WP MathA" w:cs="WP MathA"/>
    </w:rPr>
  </w:style>
  <w:style w:type="character" w:styleId="WW8NumSt3z0">
    <w:name w:val="WW8NumSt3z0"/>
    <w:qFormat/>
    <w:rPr>
      <w:rFonts w:ascii="WP MathA" w:hAnsi="WP MathA" w:cs="WP MathA"/>
    </w:rPr>
  </w:style>
  <w:style w:type="character" w:styleId="DefaultParagraphFont">
    <w:name w:val="Default Paragraph Font"/>
    <w:qFormat/>
    <w:rPr/>
  </w:style>
  <w:style w:type="character" w:styleId="FootnoteCharacters">
    <w:name w:val="Foot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QuickI">
    <w:name w:val="Quick I."/>
    <w:basedOn w:val="Normal"/>
    <w:qFormat/>
    <w:pPr>
      <w:numPr>
        <w:ilvl w:val="0"/>
        <w:numId w:val="1"/>
      </w:numPr>
      <w:tabs>
        <w:tab w:val="clear" w:pos="720"/>
      </w:tabs>
      <w:ind w:hanging="720" w:start="720" w:end="0"/>
    </w:pPr>
    <w:rPr/>
  </w:style>
  <w:style w:type="paragraph" w:styleId="Style14">
    <w:name w:val="_"/>
    <w:basedOn w:val="Normal"/>
    <w:qFormat/>
    <w:pPr>
      <w:ind w:hanging="720" w:start="720" w:end="0"/>
    </w:pPr>
    <w:rPr/>
  </w:style>
  <w:style w:type="paragraph" w:styleId="1">
    <w:name w:val="_1"/>
    <w:basedOn w:val="Normal"/>
    <w:qFormat/>
    <w:pPr>
      <w:ind w:hanging="720" w:start="1440" w:end="0"/>
    </w:pPr>
    <w:rPr/>
  </w:style>
  <w:style w:type="paragraph" w:styleId="FootnoteText">
    <w:name w:val="footnote text"/>
    <w:basedOn w:val="Normal"/>
    <w:pPr>
      <w:suppressLineNumbers/>
      <w:ind w:hanging="340" w:start="340"/>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tabs>
        <w:tab w:val="clear" w:pos="4986"/>
        <w:tab w:val="clear" w:pos="9972"/>
        <w:tab w:val="center" w:pos="4680" w:leader="none"/>
        <w:tab w:val="right" w:pos="936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2000-05-19T15:01:00Z</dcterms:created>
  <dc:creator>R. Thomas Beach</dc:creator>
  <dc:description/>
  <dc:language>en-CA</dc:language>
  <cp:lastModifiedBy>R. Thomas Beach</cp:lastModifiedBy>
  <dcterms:modified xsi:type="dcterms:W3CDTF">2000-05-19T15:01:00Z</dcterms:modified>
  <cp:revision>2</cp:revision>
  <dc:subject/>
  <dc:title/>
</cp:coreProperties>
</file>