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start="0" w:end="-720"/>
        <w:rPr/>
      </w:pPr>
      <w:r>
        <w:rPr/>
        <w:t>DRAFT</w:t>
      </w:r>
    </w:p>
    <w:p>
      <w:pPr>
        <w:pStyle w:val="Normal"/>
        <w:ind w:start="-720" w:end="-720"/>
        <w:jc w:val="both"/>
        <w:rPr>
          <w:sz w:val="22"/>
        </w:rPr>
      </w:pPr>
      <w:r>
        <w:rPr>
          <w:sz w:val="22"/>
        </w:rPr>
        <w:t>September 24, 2001</w:t>
      </w:r>
    </w:p>
    <w:p>
      <w:pPr>
        <w:pStyle w:val="Normal"/>
        <w:ind w:start="-720" w:end="-720"/>
        <w:jc w:val="both"/>
        <w:rPr>
          <w:sz w:val="22"/>
        </w:rPr>
      </w:pPr>
      <w:r>
        <w:rPr>
          <w:sz w:val="22"/>
        </w:rPr>
      </w:r>
    </w:p>
    <w:p>
      <w:pPr>
        <w:pStyle w:val="Normal"/>
        <w:ind w:start="-720" w:end="-720"/>
        <w:jc w:val="both"/>
        <w:rPr>
          <w:sz w:val="22"/>
        </w:rPr>
      </w:pPr>
      <w:r>
        <w:rPr>
          <w:sz w:val="22"/>
        </w:rPr>
      </w:r>
    </w:p>
    <w:p>
      <w:pPr>
        <w:pStyle w:val="Heading1"/>
        <w:rPr>
          <w:sz w:val="22"/>
        </w:rPr>
      </w:pPr>
      <w:r>
        <w:rPr>
          <w:sz w:val="22"/>
        </w:rPr>
        <w:t>From:  Stan Horton</w:t>
      </w:r>
    </w:p>
    <w:p>
      <w:pPr>
        <w:pStyle w:val="Normal"/>
        <w:ind w:start="-720" w:end="-720"/>
        <w:jc w:val="both"/>
        <w:rPr>
          <w:sz w:val="22"/>
        </w:rPr>
      </w:pPr>
      <w:r>
        <w:rPr>
          <w:sz w:val="22"/>
        </w:rPr>
      </w:r>
    </w:p>
    <w:p>
      <w:pPr>
        <w:pStyle w:val="Normal"/>
        <w:ind w:start="-720" w:end="-720"/>
        <w:jc w:val="both"/>
        <w:rPr>
          <w:sz w:val="22"/>
        </w:rPr>
      </w:pPr>
      <w:r>
        <w:rPr>
          <w:sz w:val="22"/>
        </w:rPr>
        <w:t>To:  All Enron Worldwide</w:t>
      </w:r>
    </w:p>
    <w:p>
      <w:pPr>
        <w:pStyle w:val="Normal"/>
        <w:ind w:start="-720" w:end="-720"/>
        <w:jc w:val="both"/>
        <w:rPr>
          <w:sz w:val="22"/>
        </w:rPr>
      </w:pPr>
      <w:r>
        <w:rPr>
          <w:sz w:val="22"/>
        </w:rPr>
      </w:r>
    </w:p>
    <w:p>
      <w:pPr>
        <w:pStyle w:val="Normal"/>
        <w:ind w:start="-720" w:end="-720"/>
        <w:jc w:val="both"/>
        <w:rPr>
          <w:sz w:val="22"/>
        </w:rPr>
      </w:pPr>
      <w:r>
        <w:rPr>
          <w:sz w:val="22"/>
        </w:rPr>
        <w:t>Subject:  Organization Changes</w:t>
      </w:r>
    </w:p>
    <w:p>
      <w:pPr>
        <w:pStyle w:val="Normal"/>
        <w:ind w:start="-720" w:end="-720"/>
        <w:jc w:val="both"/>
        <w:rPr>
          <w:sz w:val="22"/>
        </w:rPr>
      </w:pPr>
      <w:r>
        <w:rPr>
          <w:sz w:val="22"/>
        </w:rPr>
      </w:r>
    </w:p>
    <w:p>
      <w:pPr>
        <w:pStyle w:val="Normal"/>
        <w:ind w:start="-720" w:end="-720"/>
        <w:jc w:val="both"/>
        <w:rPr>
          <w:sz w:val="22"/>
        </w:rPr>
      </w:pPr>
      <w:r>
        <w:rPr>
          <w:sz w:val="22"/>
        </w:rPr>
      </w:r>
    </w:p>
    <w:p>
      <w:pPr>
        <w:pStyle w:val="BlockText"/>
        <w:jc w:val="both"/>
        <w:rPr>
          <w:sz w:val="22"/>
        </w:rPr>
      </w:pPr>
      <w:r>
        <w:rPr>
          <w:sz w:val="22"/>
        </w:rPr>
        <w:t>Today, we are forming Enron Global Services (EGS) in order to more closely align our asset-based businesses.</w:t>
      </w:r>
    </w:p>
    <w:p>
      <w:pPr>
        <w:pStyle w:val="Normal"/>
        <w:ind w:start="-720" w:end="-720"/>
        <w:jc w:val="both"/>
        <w:rPr>
          <w:sz w:val="22"/>
        </w:rPr>
      </w:pPr>
      <w:r>
        <w:rPr>
          <w:sz w:val="22"/>
        </w:rPr>
      </w:r>
    </w:p>
    <w:p>
      <w:pPr>
        <w:pStyle w:val="Normal"/>
        <w:ind w:start="-720" w:end="-720"/>
        <w:jc w:val="both"/>
        <w:rPr>
          <w:sz w:val="22"/>
        </w:rPr>
      </w:pPr>
      <w:r>
        <w:rPr>
          <w:sz w:val="22"/>
        </w:rPr>
        <w:t>This reorganization will allow EGS to focus our resources on opportunities that present the highest value to Enron.  It will also accomplish the following:  1) enhanced synergies among our assets and personnel, 2) more effective prioritization of business opportunities, and 3) better management of ENE’s asset-based businesses throughout the world.</w:t>
      </w:r>
    </w:p>
    <w:p>
      <w:pPr>
        <w:pStyle w:val="Normal"/>
        <w:ind w:start="-720" w:end="-720"/>
        <w:jc w:val="both"/>
        <w:rPr>
          <w:sz w:val="22"/>
        </w:rPr>
      </w:pPr>
      <w:r>
        <w:rPr>
          <w:sz w:val="22"/>
        </w:rPr>
      </w:r>
    </w:p>
    <w:p>
      <w:pPr>
        <w:pStyle w:val="Normal"/>
        <w:tabs>
          <w:tab w:val="clear" w:pos="720"/>
          <w:tab w:val="left" w:pos="0" w:leader="none"/>
        </w:tabs>
        <w:ind w:start="-720" w:end="-720"/>
        <w:jc w:val="both"/>
        <w:rPr>
          <w:sz w:val="22"/>
        </w:rPr>
      </w:pPr>
      <w:r>
        <w:rPr>
          <w:sz w:val="22"/>
        </w:rPr>
        <w:t xml:space="preserve">Enron Global Services’ energy asset portfolio includes the North American pipeline businesses of Enron Transportation Services (ETS), including Northern Border; the international pipeline, power and distribution operations of Enron Global Asset Services (EGAS); Portland General Electric; EOTT Energy Corp; Enron Wind; Azurix and Wessex Water.  </w:t>
      </w:r>
    </w:p>
    <w:p>
      <w:pPr>
        <w:pStyle w:val="Normal"/>
        <w:ind w:start="-720" w:end="-720"/>
        <w:jc w:val="both"/>
        <w:rPr>
          <w:sz w:val="22"/>
        </w:rPr>
      </w:pPr>
      <w:r>
        <w:rPr>
          <w:sz w:val="22"/>
        </w:rPr>
      </w:r>
    </w:p>
    <w:p>
      <w:pPr>
        <w:pStyle w:val="Normal"/>
        <w:ind w:start="-720" w:end="-720"/>
        <w:jc w:val="both"/>
        <w:rPr>
          <w:sz w:val="22"/>
        </w:rPr>
      </w:pPr>
      <w:r>
        <w:rPr>
          <w:sz w:val="22"/>
        </w:rPr>
        <w:t>Reporting to me as the heads of their respective business units are:</w:t>
      </w:r>
    </w:p>
    <w:p>
      <w:pPr>
        <w:pStyle w:val="Normal"/>
        <w:numPr>
          <w:ilvl w:val="0"/>
          <w:numId w:val="5"/>
        </w:numPr>
        <w:tabs>
          <w:tab w:val="clear" w:pos="720"/>
          <w:tab w:val="left" w:pos="-720" w:leader="none"/>
        </w:tabs>
        <w:ind w:hanging="0" w:start="-720" w:end="-720"/>
        <w:jc w:val="both"/>
        <w:rPr>
          <w:sz w:val="22"/>
        </w:rPr>
      </w:pPr>
      <w:r>
        <w:rPr>
          <w:sz w:val="22"/>
        </w:rPr>
        <w:t>Jim Hughes, President &amp; COO – EGS/International</w:t>
      </w:r>
    </w:p>
    <w:p>
      <w:pPr>
        <w:pStyle w:val="Normal"/>
        <w:numPr>
          <w:ilvl w:val="0"/>
          <w:numId w:val="5"/>
        </w:numPr>
        <w:tabs>
          <w:tab w:val="clear" w:pos="720"/>
          <w:tab w:val="left" w:pos="-720" w:leader="none"/>
        </w:tabs>
        <w:ind w:hanging="0" w:start="-720" w:end="-720"/>
        <w:jc w:val="both"/>
        <w:rPr>
          <w:sz w:val="22"/>
        </w:rPr>
      </w:pPr>
      <w:r>
        <w:rPr>
          <w:sz w:val="22"/>
        </w:rPr>
        <w:t>Danny McCarty, Managing Director &amp; CCO - ETS</w:t>
      </w:r>
    </w:p>
    <w:p>
      <w:pPr>
        <w:pStyle w:val="Normal"/>
        <w:numPr>
          <w:ilvl w:val="0"/>
          <w:numId w:val="6"/>
        </w:numPr>
        <w:tabs>
          <w:tab w:val="clear" w:pos="720"/>
          <w:tab w:val="left" w:pos="-720" w:leader="none"/>
          <w:tab w:val="left" w:pos="0" w:leader="none"/>
        </w:tabs>
        <w:ind w:hanging="0" w:start="-720" w:end="-720"/>
        <w:jc w:val="both"/>
        <w:rPr>
          <w:sz w:val="22"/>
        </w:rPr>
      </w:pPr>
      <w:r>
        <w:rPr>
          <w:sz w:val="22"/>
        </w:rPr>
        <w:t>Bill Cordes, President – Northern Border Partners</w:t>
      </w:r>
    </w:p>
    <w:p>
      <w:pPr>
        <w:pStyle w:val="Normal"/>
        <w:numPr>
          <w:ilvl w:val="0"/>
          <w:numId w:val="3"/>
        </w:numPr>
        <w:tabs>
          <w:tab w:val="clear" w:pos="720"/>
          <w:tab w:val="left" w:pos="0" w:leader="none"/>
        </w:tabs>
        <w:ind w:hanging="0" w:start="-720" w:end="-720"/>
        <w:jc w:val="both"/>
        <w:rPr>
          <w:sz w:val="22"/>
        </w:rPr>
      </w:pPr>
      <w:r>
        <w:rPr>
          <w:sz w:val="22"/>
        </w:rPr>
        <w:t>Peggy Fowler, President &amp; CEO – Portland General Electric</w:t>
      </w:r>
    </w:p>
    <w:p>
      <w:pPr>
        <w:pStyle w:val="Normal"/>
        <w:numPr>
          <w:ilvl w:val="0"/>
          <w:numId w:val="3"/>
        </w:numPr>
        <w:tabs>
          <w:tab w:val="clear" w:pos="720"/>
          <w:tab w:val="left" w:pos="0" w:leader="none"/>
        </w:tabs>
        <w:ind w:hanging="0" w:start="-720" w:end="-720"/>
        <w:jc w:val="both"/>
        <w:rPr>
          <w:sz w:val="22"/>
        </w:rPr>
      </w:pPr>
      <w:r>
        <w:rPr>
          <w:sz w:val="22"/>
        </w:rPr>
        <w:t>John Garrison, President &amp; CEO – Azurix</w:t>
      </w:r>
    </w:p>
    <w:p>
      <w:pPr>
        <w:pStyle w:val="Normal"/>
        <w:numPr>
          <w:ilvl w:val="0"/>
          <w:numId w:val="3"/>
        </w:numPr>
        <w:tabs>
          <w:tab w:val="clear" w:pos="720"/>
          <w:tab w:val="left" w:pos="0" w:leader="none"/>
        </w:tabs>
        <w:ind w:hanging="0" w:start="-720" w:end="-720"/>
        <w:jc w:val="both"/>
        <w:rPr>
          <w:sz w:val="22"/>
        </w:rPr>
      </w:pPr>
      <w:r>
        <w:rPr>
          <w:sz w:val="22"/>
        </w:rPr>
        <w:t>Dana Gibbs, President &amp; COO – EOTT Energy Corp</w:t>
      </w:r>
    </w:p>
    <w:p>
      <w:pPr>
        <w:pStyle w:val="Normal"/>
        <w:numPr>
          <w:ilvl w:val="0"/>
          <w:numId w:val="3"/>
        </w:numPr>
        <w:tabs>
          <w:tab w:val="clear" w:pos="720"/>
          <w:tab w:val="left" w:pos="0" w:leader="none"/>
        </w:tabs>
        <w:ind w:hanging="0" w:start="-720" w:end="-720"/>
        <w:jc w:val="both"/>
        <w:rPr>
          <w:sz w:val="22"/>
        </w:rPr>
      </w:pPr>
      <w:r>
        <w:rPr>
          <w:sz w:val="22"/>
        </w:rPr>
        <w:t>Colin Skellett, CEO – Wessex Water</w:t>
      </w:r>
    </w:p>
    <w:p>
      <w:pPr>
        <w:pStyle w:val="Normal"/>
        <w:numPr>
          <w:ilvl w:val="0"/>
          <w:numId w:val="3"/>
        </w:numPr>
        <w:tabs>
          <w:tab w:val="clear" w:pos="720"/>
          <w:tab w:val="left" w:pos="0" w:leader="none"/>
        </w:tabs>
        <w:ind w:hanging="0" w:start="-720" w:end="-720"/>
        <w:jc w:val="both"/>
        <w:rPr>
          <w:sz w:val="22"/>
        </w:rPr>
      </w:pPr>
      <w:r>
        <w:rPr>
          <w:sz w:val="22"/>
        </w:rPr>
        <w:t>Adam Umanoff, President &amp; CEO – Enron Wind</w:t>
      </w:r>
    </w:p>
    <w:p>
      <w:pPr>
        <w:pStyle w:val="Normal"/>
        <w:ind w:start="-720" w:end="-720"/>
        <w:jc w:val="both"/>
        <w:rPr>
          <w:sz w:val="22"/>
        </w:rPr>
      </w:pPr>
      <w:r>
        <w:rPr>
          <w:sz w:val="22"/>
        </w:rPr>
      </w:r>
    </w:p>
    <w:p>
      <w:pPr>
        <w:pStyle w:val="Normal"/>
        <w:ind w:start="-720" w:end="-720"/>
        <w:jc w:val="both"/>
        <w:rPr>
          <w:sz w:val="22"/>
        </w:rPr>
      </w:pPr>
      <w:r>
        <w:rPr>
          <w:sz w:val="22"/>
        </w:rPr>
        <w:t>With the creation of EGS, we hope to enhance the efficient utilization of our commercial support services.  To accomplish this, EGS’ staff and operational functions will be headed by:</w:t>
      </w:r>
    </w:p>
    <w:p>
      <w:pPr>
        <w:pStyle w:val="Normal"/>
        <w:numPr>
          <w:ilvl w:val="0"/>
          <w:numId w:val="5"/>
        </w:numPr>
        <w:tabs>
          <w:tab w:val="clear" w:pos="720"/>
          <w:tab w:val="left" w:pos="-720" w:leader="none"/>
        </w:tabs>
        <w:ind w:hanging="0" w:start="-720" w:end="-720"/>
        <w:jc w:val="both"/>
        <w:rPr>
          <w:sz w:val="22"/>
        </w:rPr>
      </w:pPr>
      <w:r>
        <w:rPr>
          <w:sz w:val="22"/>
        </w:rPr>
        <w:t xml:space="preserve">Rod Hayslett, Managing Director &amp; CFO </w:t>
      </w:r>
    </w:p>
    <w:p>
      <w:pPr>
        <w:pStyle w:val="Normal"/>
        <w:numPr>
          <w:ilvl w:val="0"/>
          <w:numId w:val="5"/>
        </w:numPr>
        <w:tabs>
          <w:tab w:val="clear" w:pos="720"/>
          <w:tab w:val="left" w:pos="-720" w:leader="none"/>
        </w:tabs>
        <w:ind w:hanging="0" w:start="-720" w:end="-720"/>
        <w:jc w:val="both"/>
        <w:rPr>
          <w:sz w:val="22"/>
        </w:rPr>
      </w:pPr>
      <w:r>
        <w:rPr>
          <w:sz w:val="22"/>
        </w:rPr>
        <w:t xml:space="preserve">Rob Walls, Managing Director &amp; General Counsel </w:t>
      </w:r>
    </w:p>
    <w:p>
      <w:pPr>
        <w:pStyle w:val="Normal"/>
        <w:numPr>
          <w:ilvl w:val="0"/>
          <w:numId w:val="4"/>
        </w:numPr>
        <w:tabs>
          <w:tab w:val="clear" w:pos="720"/>
          <w:tab w:val="left" w:pos="-720" w:leader="none"/>
          <w:tab w:val="left" w:pos="0" w:leader="none"/>
        </w:tabs>
        <w:ind w:hanging="0" w:start="-720" w:end="-720"/>
        <w:jc w:val="both"/>
        <w:rPr>
          <w:sz w:val="22"/>
        </w:rPr>
      </w:pPr>
      <w:r>
        <w:rPr>
          <w:sz w:val="22"/>
        </w:rPr>
        <w:t>Phil Lowry, Managing Director, Pipeline Operations and E&amp;C</w:t>
      </w:r>
    </w:p>
    <w:p>
      <w:pPr>
        <w:pStyle w:val="Normal"/>
        <w:numPr>
          <w:ilvl w:val="0"/>
          <w:numId w:val="4"/>
        </w:numPr>
        <w:ind w:hanging="0" w:start="-720" w:end="-720"/>
        <w:jc w:val="both"/>
        <w:rPr>
          <w:sz w:val="22"/>
        </w:rPr>
      </w:pPr>
      <w:r>
        <w:rPr>
          <w:sz w:val="22"/>
        </w:rPr>
        <w:t>Brian Stanley, President &amp; CEO - EEOS</w:t>
      </w:r>
    </w:p>
    <w:p>
      <w:pPr>
        <w:pStyle w:val="Normal"/>
        <w:numPr>
          <w:ilvl w:val="0"/>
          <w:numId w:val="4"/>
        </w:numPr>
        <w:tabs>
          <w:tab w:val="clear" w:pos="720"/>
          <w:tab w:val="left" w:pos="-720" w:leader="none"/>
          <w:tab w:val="left" w:pos="0" w:leader="none"/>
        </w:tabs>
        <w:ind w:hanging="0" w:start="-720" w:end="-720"/>
        <w:jc w:val="both"/>
        <w:rPr>
          <w:sz w:val="22"/>
        </w:rPr>
      </w:pPr>
      <w:r>
        <w:rPr>
          <w:sz w:val="22"/>
        </w:rPr>
        <w:t>Steve Hotte, Vice President &amp; CIO</w:t>
      </w:r>
    </w:p>
    <w:p>
      <w:pPr>
        <w:pStyle w:val="Normal"/>
        <w:numPr>
          <w:ilvl w:val="0"/>
          <w:numId w:val="4"/>
        </w:numPr>
        <w:tabs>
          <w:tab w:val="clear" w:pos="720"/>
          <w:tab w:val="left" w:pos="-720" w:leader="none"/>
          <w:tab w:val="left" w:pos="0" w:leader="none"/>
        </w:tabs>
        <w:ind w:hanging="0" w:start="-720" w:end="-720"/>
        <w:jc w:val="both"/>
        <w:rPr>
          <w:sz w:val="22"/>
        </w:rPr>
      </w:pPr>
      <w:r>
        <w:rPr>
          <w:sz w:val="22"/>
        </w:rPr>
        <w:t>John Ambler, Vice President, Communications &amp; PR</w:t>
        <w:tab/>
      </w:r>
    </w:p>
    <w:p>
      <w:pPr>
        <w:pStyle w:val="Normal"/>
        <w:numPr>
          <w:ilvl w:val="0"/>
          <w:numId w:val="2"/>
        </w:numPr>
        <w:tabs>
          <w:tab w:val="clear" w:pos="720"/>
          <w:tab w:val="left" w:pos="0" w:leader="none"/>
        </w:tabs>
        <w:ind w:hanging="0" w:start="-720" w:end="-720"/>
        <w:jc w:val="both"/>
        <w:rPr>
          <w:sz w:val="22"/>
        </w:rPr>
      </w:pPr>
      <w:r>
        <w:rPr>
          <w:sz w:val="22"/>
        </w:rPr>
        <w:t>Gary Smith, Vice President, Human Resources</w:t>
      </w:r>
    </w:p>
    <w:p>
      <w:pPr>
        <w:pStyle w:val="Normal"/>
        <w:ind w:start="-720" w:end="-720"/>
        <w:jc w:val="both"/>
        <w:rPr>
          <w:sz w:val="22"/>
        </w:rPr>
      </w:pPr>
      <w:r>
        <w:rPr>
          <w:sz w:val="22"/>
        </w:rPr>
      </w:r>
    </w:p>
    <w:p>
      <w:pPr>
        <w:pStyle w:val="Normal"/>
        <w:ind w:start="-720" w:end="-720"/>
        <w:jc w:val="both"/>
        <w:rPr>
          <w:sz w:val="22"/>
        </w:rPr>
      </w:pPr>
      <w:r>
        <w:rPr>
          <w:sz w:val="22"/>
        </w:rPr>
        <w:t>In addition, Rob Walls will continue to perform his role as Deputy General Counsel for Enron reporting to Jim Derrick.</w:t>
      </w:r>
    </w:p>
    <w:p>
      <w:pPr>
        <w:pStyle w:val="Normal"/>
        <w:ind w:start="-720" w:end="-720"/>
        <w:jc w:val="both"/>
        <w:rPr>
          <w:sz w:val="22"/>
        </w:rPr>
      </w:pPr>
      <w:r>
        <w:rPr>
          <w:sz w:val="22"/>
        </w:rPr>
      </w:r>
    </w:p>
    <w:p>
      <w:pPr>
        <w:pStyle w:val="BodyText"/>
        <w:ind w:start="-720" w:end="-720"/>
        <w:jc w:val="both"/>
        <w:rPr>
          <w:sz w:val="22"/>
        </w:rPr>
      </w:pPr>
      <w:r>
        <w:rPr>
          <w:sz w:val="22"/>
        </w:rPr>
        <w:t xml:space="preserve">Phil Lowry will be responsible for domestic pipeline operations, technical services and engineering &amp; construction, as well as, international pipeline technical services and engineering &amp; construction.  Brian Stanley will be responsible for technical services and engineering &amp; construction for international power and distribution facilities.  </w:t>
      </w:r>
    </w:p>
    <w:p>
      <w:pPr>
        <w:pStyle w:val="BodyText"/>
        <w:ind w:start="-720" w:end="-720"/>
        <w:jc w:val="both"/>
        <w:rPr>
          <w:sz w:val="22"/>
        </w:rPr>
      </w:pPr>
      <w:r>
        <w:rPr>
          <w:sz w:val="22"/>
        </w:rPr>
      </w:r>
    </w:p>
    <w:p>
      <w:pPr>
        <w:sectPr>
          <w:type w:val="nextPage"/>
          <w:pgSz w:w="12240" w:h="15840"/>
          <w:pgMar w:left="2160" w:right="2160" w:gutter="0" w:header="0" w:top="720" w:footer="0" w:bottom="720"/>
          <w:pgNumType w:fmt="decimal"/>
          <w:formProt w:val="false"/>
          <w:textDirection w:val="lrTb"/>
          <w:docGrid w:type="default" w:linePitch="360" w:charSpace="0"/>
        </w:sectPr>
        <w:pStyle w:val="BodyText"/>
        <w:ind w:start="-720" w:end="-720"/>
        <w:jc w:val="both"/>
        <w:rPr>
          <w:sz w:val="22"/>
        </w:rPr>
      </w:pPr>
      <w:r>
        <w:rPr>
          <w:sz w:val="22"/>
        </w:rPr>
        <w:t>Attached is an organization chart for Enron Global Services, which displays the changes described here.  We are confident this new organization will focus our talent and capital appropriately.  Please join me in supporting this management team as it strives to maximize Enron’s return on its assets.</w:t>
      </w:r>
    </w:p>
    <w:p>
      <w:pPr>
        <w:pStyle w:val="Normal"/>
        <w:ind w:start="-720" w:end="-720"/>
        <w:jc w:val="both"/>
        <w:rPr>
          <w:sz w:val="22"/>
          <w:lang w:val="en-CA" w:eastAsia="en-CA"/>
        </w:rPr>
      </w:pPr>
      <w:r>
        <w:rPr>
          <w:sz w:val="22"/>
          <w:lang w:val="en-CA" w:eastAsia="en-CA"/>
        </w:rPr>
        <w:object w:dxaOrig="5740" w:dyaOrig="341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72pt;width:749.65pt;height:404.95pt;mso-wrap-distance-left:9.05pt;mso-wrap-distance-right:9.05pt;mso-position-horizontal-relative:text;mso-position-vertical-relative:text" filled="f" o:ole="">
            <v:imagedata r:id="rId3" o:title=""/>
            <w10:wrap type="topAndBottom"/>
          </v:shape>
          <o:OLEObject Type="Embed" ProgID="" ShapeID="ole_rId2" DrawAspect="Content" ObjectID="_717686696" r:id="rId2"/>
        </w:object>
      </w:r>
      <w:r>
        <mc:AlternateContent>
          <mc:Choice Requires="wps">
            <w:drawing>
              <wp:anchor behindDoc="0" distT="0" distB="0" distL="114935" distR="114935" simplePos="0" locked="0" layoutInCell="1" allowOverlap="1" relativeHeight="3">
                <wp:simplePos x="0" y="0"/>
                <wp:positionH relativeFrom="column">
                  <wp:posOffset>2400300</wp:posOffset>
                </wp:positionH>
                <wp:positionV relativeFrom="paragraph">
                  <wp:posOffset>-114300</wp:posOffset>
                </wp:positionV>
                <wp:extent cx="4800600" cy="457200"/>
                <wp:effectExtent l="0" t="0" r="0" b="0"/>
                <wp:wrapNone/>
                <wp:docPr id="1" name="Frame1"/>
                <a:graphic xmlns:a="http://schemas.openxmlformats.org/drawingml/2006/main">
                  <a:graphicData uri="http://schemas.microsoft.com/office/word/2010/wordprocessingShape">
                    <wps:wsp>
                      <wps:cNvSpPr txBox="1"/>
                      <wps:spPr>
                        <a:xfrm>
                          <a:off x="0" y="0"/>
                          <a:ext cx="4800600" cy="457200"/>
                        </a:xfrm>
                        <a:prstGeom prst="rect"/>
                        <a:solidFill>
                          <a:srgbClr val="FFFFFF">
                            <a:alpha val="0"/>
                          </a:srgbClr>
                        </a:solidFill>
                      </wps:spPr>
                      <wps:txbx>
                        <w:txbxContent>
                          <w:p>
                            <w:pPr>
                              <w:pStyle w:val="Normal"/>
                              <w:jc w:val="center"/>
                              <w:rPr>
                                <w:rFonts w:ascii="Arial" w:hAnsi="Arial" w:cs="Arial"/>
                                <w:b/>
                                <w:bCs/>
                                <w:sz w:val="44"/>
                              </w:rPr>
                            </w:pPr>
                            <w:r>
                              <w:rPr>
                                <w:rFonts w:cs="Arial" w:ascii="Arial" w:hAnsi="Arial"/>
                                <w:b/>
                                <w:bCs/>
                                <w:sz w:val="44"/>
                              </w:rPr>
                              <w:t>ENRON GLOBAL SERVICES</w:t>
                            </w:r>
                          </w:p>
                        </w:txbxContent>
                      </wps:txbx>
                      <wps:bodyPr anchor="t" lIns="92075" tIns="46355" rIns="92075" bIns="46355">
                        <a:noAutofit/>
                      </wps:bodyPr>
                    </wps:wsp>
                  </a:graphicData>
                </a:graphic>
              </wp:anchor>
            </w:drawing>
          </mc:Choice>
          <mc:Fallback>
            <w:pict>
              <v:rect fillcolor="#FFFFFF" style="position:absolute;rotation:-0;width:378pt;height:36pt;mso-wrap-distance-left:9.05pt;mso-wrap-distance-right:9.05pt;mso-wrap-distance-top:0pt;mso-wrap-distance-bottom:0pt;margin-top:-9pt;mso-position-vertical-relative:text;margin-left:189pt;mso-position-horizontal-relative:text">
                <v:fill opacity="0f"/>
                <v:textbox inset="0.100694444444444in,0.0506944444444444in,0.100694444444444in,0.0506944444444444in">
                  <w:txbxContent>
                    <w:p>
                      <w:pPr>
                        <w:pStyle w:val="Normal"/>
                        <w:jc w:val="center"/>
                        <w:rPr>
                          <w:rFonts w:ascii="Arial" w:hAnsi="Arial" w:cs="Arial"/>
                          <w:b/>
                          <w:bCs/>
                          <w:sz w:val="44"/>
                        </w:rPr>
                      </w:pPr>
                      <w:r>
                        <w:rPr>
                          <w:rFonts w:cs="Arial" w:ascii="Arial" w:hAnsi="Arial"/>
                          <w:b/>
                          <w:bCs/>
                          <w:sz w:val="44"/>
                        </w:rPr>
                        <w:t>ENRON GLOBAL SERVICES</w:t>
                      </w:r>
                    </w:p>
                  </w:txbxContent>
                </v:textbox>
                <w10:wrap type="none"/>
              </v:rect>
            </w:pict>
          </mc:Fallback>
        </mc:AlternateContent>
      </w:r>
    </w:p>
    <w:sectPr>
      <w:type w:val="nextPage"/>
      <w:pgSz w:orient="landscape" w:w="15840" w:h="12240"/>
      <w:pgMar w:left="432" w:right="432" w:gutter="0" w:header="0" w:top="2160" w:footer="0" w:bottom="21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0"/>
        </w:tabs>
        <w:ind w:start="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720"/>
      <w:jc w:val="both"/>
      <w:outlineLvl w:val="0"/>
    </w:pPr>
    <w:rPr>
      <w:sz w:val="32"/>
    </w:rPr>
  </w:style>
  <w:style w:type="paragraph" w:styleId="Heading2">
    <w:name w:val="heading 2"/>
    <w:basedOn w:val="Normal"/>
    <w:next w:val="Normal"/>
    <w:qFormat/>
    <w:pPr>
      <w:keepNext w:val="true"/>
      <w:numPr>
        <w:ilvl w:val="1"/>
        <w:numId w:val="1"/>
      </w:numPr>
      <w:outlineLvl w:val="1"/>
    </w:pPr>
    <w:rPr>
      <w:b/>
      <w:bCs/>
      <w:color w:val="FF0000"/>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Wingdings" w:hAnsi="Wingdings" w:cs="Wingdings"/>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color w:val="FF0000"/>
      <w:sz w:val="28"/>
      <w:u w:val="single"/>
    </w:rPr>
  </w:style>
  <w:style w:type="paragraph" w:styleId="BodyText">
    <w:name w:val="Body Text"/>
    <w:basedOn w:val="Normal"/>
    <w:pPr>
      <w:ind w:hanging="0" w:start="0" w:end="-14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pPr>
    <w:rPr>
      <w:sz w:val="20"/>
    </w:rPr>
  </w:style>
  <w:style w:type="paragraph" w:styleId="PlainText">
    <w:name w:val="Plain Text"/>
    <w:basedOn w:val="Normal"/>
    <w:qFormat/>
    <w:pPr/>
    <w:rPr>
      <w:rFonts w:ascii="Courier New" w:hAnsi="Courier New" w:cs="Courier New"/>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2001-09-21T17:17:00Z</dcterms:created>
  <dc:creator>gsmith7</dc:creator>
  <dc:description/>
  <dc:language>en-CA</dc:language>
  <cp:lastModifiedBy>Cindy Stark</cp:lastModifiedBy>
  <cp:lastPrinted>2001-09-21T14:35:00Z</cp:lastPrinted>
  <dcterms:modified xsi:type="dcterms:W3CDTF">2001-09-21T17:17:00Z</dcterms:modified>
  <cp:revision>2</cp:revision>
  <dc:subject/>
  <dc:title>September 19, 2001</dc:title>
</cp:coreProperties>
</file>