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GAS &amp; PETROCHEMICALS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Crude Oil, Products and Petrochemicals Transactions</w:t>
      </w:r>
    </w:p>
    <w:p>
      <w:pPr>
        <w:pStyle w:val="Normal"/>
        <w:jc w:val="center"/>
        <w:rPr>
          <w:rFonts w:ascii="Arial" w:hAnsi="Arial" w:cs="Arial"/>
          <w:b/>
          <w:sz w:val="20"/>
        </w:rPr>
      </w:pPr>
      <w:r>
        <w:rPr>
          <w:rFonts w:cs="Arial" w:ascii="Arial" w:hAnsi="Arial"/>
          <w:b/>
          <w:sz w:val="20"/>
        </w:rPr>
        <w:t>(CIF/CFR)</w:t>
      </w:r>
    </w:p>
    <w:p>
      <w:pPr>
        <w:pStyle w:val="Normal"/>
        <w:jc w:val="both"/>
        <w:rPr>
          <w:rFonts w:ascii="Arial" w:hAnsi="Arial" w:cs="Arial"/>
          <w:b/>
          <w:sz w:val="20"/>
        </w:rPr>
      </w:pPr>
      <w:r>
        <w:rPr>
          <w:rFonts w:cs="Arial" w:ascii="Arial" w:hAnsi="Arial"/>
          <w:b/>
          <w:sz w:val="20"/>
        </w:rPr>
        <w:t>1.</w:t>
        <w:tab/>
        <w:t>Transactions</w:t>
      </w:r>
    </w:p>
    <w:p>
      <w:pPr>
        <w:pStyle w:val="Normal"/>
        <w:jc w:val="both"/>
        <w:rPr/>
      </w:pPr>
      <w:r>
        <w:rPr>
          <w:rFonts w:cs="Arial" w:ascii="Arial" w:hAnsi="Arial"/>
          <w:sz w:val="20"/>
        </w:rPr>
        <w:t>1.1</w:t>
        <w:tab/>
        <w:t>The term "</w:t>
      </w:r>
      <w:r>
        <w:rPr>
          <w:rFonts w:cs="Arial" w:ascii="Arial" w:hAnsi="Arial"/>
          <w:b/>
          <w:sz w:val="20"/>
        </w:rPr>
        <w:t>Transaction</w:t>
      </w:r>
      <w:r>
        <w:rPr>
          <w:rFonts w:cs="Arial" w:ascii="Arial" w:hAnsi="Arial"/>
          <w:sz w:val="20"/>
        </w:rPr>
        <w:t>" refers to any agreement for the purchase or sale of crude oil, refined petroleum products or petrochemicals (all hereinafter referred to as "</w:t>
      </w:r>
      <w:r>
        <w:rPr>
          <w:rFonts w:cs="Arial" w:ascii="Arial" w:hAnsi="Arial"/>
          <w:b/>
          <w:sz w:val="20"/>
        </w:rPr>
        <w:t>Products</w:t>
      </w:r>
      <w:r>
        <w:rPr>
          <w:rFonts w:cs="Arial" w:ascii="Arial" w:hAnsi="Arial"/>
          <w:sz w:val="20"/>
        </w:rPr>
        <w:t>") between Enron Gas &amp; Petrochemicals Trading Limited, or any division thereof and you ("</w:t>
      </w:r>
      <w:r>
        <w:rPr>
          <w:rFonts w:cs="Arial" w:ascii="Arial" w:hAnsi="Arial"/>
          <w:b/>
          <w:sz w:val="20"/>
        </w:rPr>
        <w:t>Counterparty</w:t>
      </w:r>
      <w:r>
        <w:rPr>
          <w:rFonts w:cs="Arial" w:ascii="Arial" w:hAnsi="Arial"/>
          <w:sz w:val="20"/>
        </w:rPr>
        <w:t>") (each a</w:t>
      </w:r>
      <w:r>
        <w:rPr>
          <w:rFonts w:cs="Arial" w:ascii="Arial" w:hAnsi="Arial"/>
          <w:b/>
          <w:sz w:val="20"/>
        </w:rPr>
        <w:t xml:space="preserve"> </w:t>
      </w:r>
      <w:r>
        <w:rPr>
          <w:rFonts w:cs="Arial" w:ascii="Arial" w:hAnsi="Arial"/>
          <w:sz w:val="20"/>
        </w:rPr>
        <w:t>"</w:t>
      </w:r>
      <w:r>
        <w:rPr>
          <w:rFonts w:cs="Arial" w:ascii="Arial" w:hAnsi="Arial"/>
          <w:b/>
          <w:sz w:val="20"/>
        </w:rPr>
        <w:t>Party</w:t>
      </w:r>
      <w:r>
        <w:rPr>
          <w:rFonts w:cs="Arial" w:ascii="Arial" w:hAnsi="Arial"/>
          <w:sz w:val="20"/>
        </w:rPr>
        <w:t>"). The terms and conditions of each Transaction including but not limited to price, quantity/tolerance, Products description/specifications, location of the loading port and/or discharge port or other place of delivery and loading date range or discharge date range, shall be as set out on this website. Such terms and conditions, together with this GTC, will constitute the Parties' entire agreement as to a particular Transaction and override and take the place of any terms or conditions emanating from or referred to by Counterparty. The term "</w:t>
      </w:r>
      <w:r>
        <w:rPr>
          <w:rFonts w:cs="Arial" w:ascii="Arial" w:hAnsi="Arial"/>
          <w:b/>
          <w:sz w:val="20"/>
        </w:rPr>
        <w:t>Seller</w:t>
      </w:r>
      <w:r>
        <w:rPr>
          <w:rFonts w:cs="Arial" w:ascii="Arial" w:hAnsi="Arial"/>
          <w:sz w:val="20"/>
        </w:rPr>
        <w:t>" shall mean the Party agreeing to sell and deliver the Products to Buyer, and the term "</w:t>
      </w:r>
      <w:r>
        <w:rPr>
          <w:rFonts w:cs="Arial" w:ascii="Arial" w:hAnsi="Arial"/>
          <w:b/>
          <w:sz w:val="20"/>
        </w:rPr>
        <w:t>Buyer</w:t>
      </w:r>
      <w:r>
        <w:rPr>
          <w:rFonts w:cs="Arial" w:ascii="Arial" w:hAnsi="Arial"/>
          <w:sz w:val="20"/>
        </w:rPr>
        <w:t>" shall mean the Party agreeing to purchase and receive Products from Seller.</w:t>
      </w:r>
    </w:p>
    <w:p>
      <w:pPr>
        <w:pStyle w:val="Normal"/>
        <w:jc w:val="both"/>
        <w:rPr>
          <w:rFonts w:ascii="Arial" w:hAnsi="Arial" w:cs="Arial"/>
          <w:sz w:val="20"/>
        </w:rPr>
      </w:pPr>
      <w:r>
        <w:rPr>
          <w:rFonts w:cs="Arial" w:ascii="Arial" w:hAnsi="Arial"/>
          <w:sz w:val="20"/>
        </w:rPr>
        <w:t>1.2</w:t>
        <w:tab/>
        <w:t>A Transaction will be initiated by you offering to buy or to sell Products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jc w:val="both"/>
        <w:rPr>
          <w:rFonts w:ascii="Arial" w:hAnsi="Arial" w:cs="Arial"/>
          <w:sz w:val="20"/>
        </w:rPr>
      </w:pPr>
      <w:r>
        <w:rPr>
          <w:rFonts w:cs="Arial" w:ascii="Arial" w:hAnsi="Arial"/>
          <w:sz w:val="20"/>
        </w:rPr>
        <w:t>1.3</w:t>
        <w:tab/>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Normal"/>
        <w:jc w:val="both"/>
        <w:rPr>
          <w:rFonts w:ascii="Arial" w:hAnsi="Arial" w:cs="Arial"/>
          <w:b/>
          <w:sz w:val="20"/>
        </w:rPr>
      </w:pPr>
      <w:r>
        <w:rPr>
          <w:rFonts w:cs="Arial" w:ascii="Arial" w:hAnsi="Arial"/>
          <w:b/>
          <w:sz w:val="20"/>
        </w:rPr>
        <w:t>2.</w:t>
        <w:tab/>
        <w:t>Payment and Credit</w:t>
      </w:r>
    </w:p>
    <w:p>
      <w:pPr>
        <w:pStyle w:val="Normal"/>
        <w:jc w:val="both"/>
        <w:rPr>
          <w:rFonts w:ascii="Arial" w:hAnsi="Arial" w:cs="Arial"/>
          <w:sz w:val="20"/>
        </w:rPr>
      </w:pPr>
      <w:r>
        <w:rPr>
          <w:rFonts w:cs="Arial" w:ascii="Arial" w:hAnsi="Arial"/>
          <w:sz w:val="20"/>
        </w:rPr>
        <w:t>2.1</w:t>
        <w:tab/>
        <w:t>Where Enron is Seller, within one Business Day of a request by Enron, Counterparty shall provide to Enron a letter of credit in respect of Counterparty's obligations under any Transaction, in such form and for such amount and from such issuer, as is acceptable to Enron in its absolute discretion.</w:t>
      </w:r>
    </w:p>
    <w:p>
      <w:pPr>
        <w:pStyle w:val="Normal"/>
        <w:jc w:val="both"/>
        <w:rPr>
          <w:rFonts w:ascii="Arial" w:hAnsi="Arial" w:cs="Arial"/>
          <w:sz w:val="20"/>
        </w:rPr>
      </w:pPr>
      <w:r>
        <w:rPr>
          <w:rFonts w:cs="Arial" w:ascii="Arial" w:hAnsi="Arial"/>
          <w:sz w:val="20"/>
        </w:rPr>
        <w:t xml:space="preserve">Where Enron is Buyer, Enron may request Seller to provide a Bank letter of indemnity, in such a form and from such issuer, as is acceptable to Enron in its absolute discretion. Payment due date will be the later of contractual due date and one Business Day after receipt of acceptable Bank letter of indemnity </w:t>
      </w:r>
    </w:p>
    <w:p>
      <w:pPr>
        <w:pStyle w:val="Normal"/>
        <w:jc w:val="both"/>
        <w:rPr>
          <w:rFonts w:ascii="Arial" w:hAnsi="Arial" w:cs="Arial"/>
          <w:sz w:val="20"/>
        </w:rPr>
      </w:pPr>
      <w:r>
        <w:rPr>
          <w:rFonts w:cs="Arial" w:ascii="Arial" w:hAnsi="Arial"/>
          <w:sz w:val="20"/>
        </w:rPr>
        <w:t>2.2</w:t>
        <w:tab/>
        <w:t xml:space="preserve">Where Enron is Seller, Enron may withhold or cease any delivery (whether or not delivery has commenced) until Enron receives an acceptable letter of credit, as the case may be, pursuant to Sections 2.1. Subject to Section 7, this right shall be in addition to, and not in limitation or exclusion of, any other rights or remedies which Enron may have (whether by agreement, operation of law or otherwise including without limitation the right in relevant circumstances to treat any resulting period of delay as laytime used by Buyer or time on demurrage for which Buyer is responsible). No resulting period of delay shall, however, count as laytime used by Enron or time on demurrage for which Enron is responsible. </w:t>
      </w:r>
    </w:p>
    <w:p>
      <w:pPr>
        <w:pStyle w:val="Normal"/>
        <w:jc w:val="both"/>
        <w:rPr>
          <w:rFonts w:ascii="Arial" w:hAnsi="Arial" w:cs="Arial"/>
          <w:sz w:val="20"/>
        </w:rPr>
      </w:pPr>
      <w:r>
        <w:rPr>
          <w:rFonts w:cs="Arial" w:ascii="Arial" w:hAnsi="Arial"/>
          <w:sz w:val="20"/>
        </w:rPr>
        <w:t>2.3</w:t>
        <w:tab/>
        <w:t>All bank charges and other fees, commissions, costs and expenses incurred by Seller or Buyer with respect to furnishing security or assurances (including without limitation any prepayment, letter of credit or guarantee) to Seller shall be for the account of Buyer.</w:t>
      </w:r>
    </w:p>
    <w:p>
      <w:pPr>
        <w:pStyle w:val="Normal"/>
        <w:jc w:val="both"/>
        <w:rPr>
          <w:rFonts w:ascii="Arial" w:hAnsi="Arial" w:cs="Arial"/>
          <w:sz w:val="20"/>
        </w:rPr>
      </w:pPr>
      <w:r>
        <w:rPr>
          <w:rFonts w:cs="Arial" w:ascii="Arial" w:hAnsi="Arial"/>
          <w:sz w:val="20"/>
        </w:rPr>
        <w:t>2.4</w:t>
        <w:tab/>
        <w:t>Seller shall render invoices to Buyer, along with the documents against presentation of which payment is to be effected under a Transaction. If any of such documents is not available for presentation to Buyer on or before the payment due date, Buyer agrees to pay Seller upon presentation of Seller's invoice plus Seller's telex or facsimile letter of indemnity in the format set out in the Schedule hereto. Seller's furnishing of invoices or other documents (other than any shipping documents, bill of lading or certificate of insurance provided for under a Transaction) by hard copy, facsimile or telex shall constitute acceptable presentation. Each Party shall provide the other Party with any other substantiating documents required under a Transaction. Payment to Seller shall be made to the bank and account designated by Seller, either by direct payment or by wire transfer, and, subject to Section 5, without discount, set-off, deduction, withholding or counterclaim. All payments shall be made in immediately available funds in the currency and at the place provided for. Buyer represents that it has obtained the appropriate governmental approval, if any is required, for Buyer to enter into a Transaction permitting Buyer to make payments to Seller for the Products in such currency at such place.</w:t>
      </w:r>
    </w:p>
    <w:p>
      <w:pPr>
        <w:pStyle w:val="Normal"/>
        <w:jc w:val="both"/>
        <w:rPr>
          <w:rFonts w:ascii="Arial" w:hAnsi="Arial" w:cs="Arial"/>
          <w:sz w:val="20"/>
        </w:rPr>
      </w:pPr>
      <w:r>
        <w:rPr>
          <w:rFonts w:cs="Arial" w:ascii="Arial" w:hAnsi="Arial"/>
          <w:sz w:val="20"/>
        </w:rPr>
        <w:t>2.5</w:t>
        <w:tab/>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Products delivered when due as provided herein.</w:t>
      </w:r>
    </w:p>
    <w:p>
      <w:pPr>
        <w:pStyle w:val="Normal"/>
        <w:jc w:val="both"/>
        <w:rPr>
          <w:rFonts w:ascii="Arial" w:hAnsi="Arial" w:cs="Arial"/>
          <w:sz w:val="20"/>
        </w:rPr>
      </w:pPr>
      <w:r>
        <w:rPr>
          <w:rFonts w:cs="Arial" w:ascii="Arial" w:hAnsi="Arial"/>
          <w:sz w:val="20"/>
        </w:rPr>
        <w:t>2.6</w:t>
        <w:tab/>
        <w:t>If either Party does not pay any amount when due to the other, such unpaid amount shall bear interest from the due date until actual payment (both before and after any arbitral award or judgement) at LIBOR plus three per cent. (3%) (but such interest shall never exceed the maximum rate permitted by applicable law). Such interest shall not be construed as an agreement by either Party to provide to the other extended credit. For this purpose "LIBOR" shall be one month interest rate for the currency of payment per calendar month (or part thereof) that the amount remains unpaid at or about 11.00 am in London by National Westminster Bank Plc (or its successor in interest). Such interest shall be payable to the other Party on demand therefor being made by that Party.</w:t>
      </w:r>
    </w:p>
    <w:p>
      <w:pPr>
        <w:pStyle w:val="Normal"/>
        <w:jc w:val="both"/>
        <w:rPr>
          <w:rFonts w:ascii="Arial" w:hAnsi="Arial" w:cs="Arial"/>
          <w:sz w:val="20"/>
        </w:rPr>
      </w:pPr>
      <w:r>
        <w:rPr>
          <w:rFonts w:cs="Arial" w:ascii="Arial" w:hAnsi="Arial"/>
          <w:sz w:val="20"/>
        </w:rPr>
        <w:t>2.7</w:t>
        <w:tab/>
        <w:t>If the payment due date would otherwise fall on a Saturday or non-Monday weekday which is a bank holiday in the place of payment, then payment is to be made on the preceding banking business day in that place. If the payment due date would otherwise fall on a Sunday or Monday which is a bank holiday in that place, then payment is to be made on the following banking business day in that place.</w:t>
      </w:r>
    </w:p>
    <w:p>
      <w:pPr>
        <w:pStyle w:val="Normal"/>
        <w:jc w:val="both"/>
        <w:rPr>
          <w:rFonts w:ascii="Arial" w:hAnsi="Arial" w:cs="Arial"/>
          <w:b/>
          <w:sz w:val="20"/>
        </w:rPr>
      </w:pPr>
      <w:r>
        <w:rPr>
          <w:rFonts w:cs="Arial" w:ascii="Arial" w:hAnsi="Arial"/>
          <w:b/>
          <w:sz w:val="20"/>
        </w:rPr>
        <w:t>3.</w:t>
        <w:tab/>
        <w:t>Delivery</w:t>
      </w:r>
    </w:p>
    <w:p>
      <w:pPr>
        <w:pStyle w:val="Normal"/>
        <w:jc w:val="both"/>
        <w:rPr>
          <w:rFonts w:ascii="Arial" w:hAnsi="Arial" w:cs="Arial"/>
          <w:sz w:val="20"/>
        </w:rPr>
      </w:pPr>
      <w:r>
        <w:rPr>
          <w:rFonts w:cs="Arial" w:ascii="Arial" w:hAnsi="Arial"/>
          <w:sz w:val="20"/>
        </w:rPr>
        <w:t>3.1</w:t>
        <w:tab/>
        <w:t>The Products shall be delivered on a CIF or CFR basis into waterborne transportation. The property in the Products shall pass to Buyer as the Products pass the flange connection between the delivery hose and the vessel’s permanent hose connection at the loading terminal, at which point of delivery Seller’s responsibility shall cease and the Products shall be at Buyer’s risk as from that time. Buyer shall bear all liability with respect to the Products as a consequence of its ownership thereof. Buyer agrees to indemnify, defend and hold Seller and its Affiliates harmless from liability for any and all claims, losses, demands, damages, costs or expenses of any kind or nature whatsoever, which arise out of Buyer’s ownership of the Products.</w:t>
      </w:r>
    </w:p>
    <w:p>
      <w:pPr>
        <w:pStyle w:val="Normal"/>
        <w:jc w:val="both"/>
        <w:rPr>
          <w:rFonts w:ascii="Arial" w:hAnsi="Arial" w:cs="Arial"/>
          <w:sz w:val="20"/>
        </w:rPr>
      </w:pPr>
      <w:r>
        <w:rPr>
          <w:rFonts w:cs="Arial" w:ascii="Arial" w:hAnsi="Arial"/>
          <w:sz w:val="20"/>
        </w:rPr>
        <w:t>3.2</w:t>
        <w:tab/>
        <w:t>Notwithstanding anything to the contrary, if Buyer fails to take delivery of any quantity of Products made available for delivery (either over the whole period of a Transaction or any shorter periods as may be applicable under a Transaction), then such undelivered quantity shall, at Seller's option, cease to be deliverable to Buyer under a Transaction, such undelivered quantity shall be deducted from the total quantity of Products, without prejudice (subject to Section 7) to any other rights or remedies that Seller may have against Buyer, and Seller may sell or otherwise dispose of such undelivered quantity of Products at its sole and absolute discretion. The provisions of this Section 3.2 shall apply whether Buyer is to receive a single delivery or more than one delivery.</w:t>
      </w:r>
    </w:p>
    <w:p>
      <w:pPr>
        <w:pStyle w:val="Normal"/>
        <w:jc w:val="both"/>
        <w:rPr>
          <w:rFonts w:ascii="Arial" w:hAnsi="Arial" w:cs="Arial"/>
          <w:b/>
          <w:sz w:val="20"/>
        </w:rPr>
      </w:pPr>
      <w:r>
        <w:rPr>
          <w:rFonts w:cs="Arial" w:ascii="Arial" w:hAnsi="Arial"/>
          <w:b/>
          <w:sz w:val="20"/>
        </w:rPr>
        <w:t>4.</w:t>
        <w:tab/>
        <w:t>Indemnity</w:t>
      </w:r>
    </w:p>
    <w:p>
      <w:pPr>
        <w:pStyle w:val="Normal"/>
        <w:jc w:val="both"/>
        <w:rPr/>
      </w:pPr>
      <w:r>
        <w:rPr>
          <w:rFonts w:cs="Arial" w:ascii="Arial" w:hAnsi="Arial"/>
          <w:sz w:val="20"/>
        </w:rPr>
        <w:t>Buyer undertakes to Seller (for itself and on behalf of the other indemnified persons referred to below) that, notwithstanding Section 7, Buyer shall indemnify, defend and hold harmless Seller and its Affiliates (as defined in Section 17.10) and its and their respective directors, officers, employees, attorneys, agents and assigns fully and effectively from and against all liabilities, losses, injuries, damages, costs and expenses (including without limitation legal fees and expenses), actions, proceedings, claims and demands of any kind or nature whatsoever (together "</w:t>
      </w:r>
      <w:r>
        <w:rPr>
          <w:rFonts w:cs="Arial" w:ascii="Arial" w:hAnsi="Arial"/>
          <w:b/>
          <w:sz w:val="20"/>
        </w:rPr>
        <w:t>Liabilities</w:t>
      </w:r>
      <w:r>
        <w:rPr>
          <w:rFonts w:cs="Arial" w:ascii="Arial" w:hAnsi="Arial"/>
          <w:sz w:val="20"/>
        </w:rPr>
        <w:t>") which any of them may suffer or incur arising directly or indirectly out of or in connection with all or any of the following, at or after the time when passing of the property in, or the risk of loss of, the Products to Buyer commences (whichever is earlier):</w:t>
      </w:r>
    </w:p>
    <w:p>
      <w:pPr>
        <w:pStyle w:val="Normal"/>
        <w:jc w:val="both"/>
        <w:rPr/>
      </w:pPr>
      <w:r>
        <w:rPr>
          <w:rFonts w:cs="Arial" w:ascii="Arial" w:hAnsi="Arial"/>
          <w:sz w:val="20"/>
        </w:rPr>
        <w:t>(a)</w:t>
        <w:tab/>
        <w:t>any loss, spill, discharge or release of Products ("</w:t>
      </w:r>
      <w:r>
        <w:rPr>
          <w:rFonts w:cs="Arial" w:ascii="Arial" w:hAnsi="Arial"/>
          <w:b/>
          <w:sz w:val="20"/>
        </w:rPr>
        <w:t>Loss</w:t>
      </w:r>
      <w:r>
        <w:rPr>
          <w:rFonts w:cs="Arial" w:ascii="Arial" w:hAnsi="Arial"/>
          <w:sz w:val="20"/>
        </w:rPr>
        <w:t>") irrespective of the cause; or</w:t>
      </w:r>
    </w:p>
    <w:p>
      <w:pPr>
        <w:pStyle w:val="Normal"/>
        <w:jc w:val="both"/>
        <w:rPr>
          <w:rFonts w:ascii="Arial" w:hAnsi="Arial" w:cs="Arial"/>
          <w:sz w:val="20"/>
        </w:rPr>
      </w:pPr>
      <w:r>
        <w:rPr>
          <w:rFonts w:cs="Arial" w:ascii="Arial" w:hAnsi="Arial"/>
          <w:sz w:val="20"/>
        </w:rPr>
        <w:t>(b)</w:t>
        <w:tab/>
        <w:t>any act or omission on the part of Buyer or of (or of any person responsible for) any vessel, barge, discharging or receiving connection, discharging or receiving facilities and/or any mode of transport arranged or furnished by or for the account of Buyer or any of Buyer's consignees, nominees, employees and agents or any other person acting on behalf of Buyer; or</w:t>
      </w:r>
    </w:p>
    <w:p>
      <w:pPr>
        <w:pStyle w:val="Normal"/>
        <w:jc w:val="both"/>
        <w:rPr>
          <w:rFonts w:ascii="Arial" w:hAnsi="Arial" w:cs="Arial"/>
          <w:sz w:val="20"/>
        </w:rPr>
      </w:pPr>
      <w:r>
        <w:rPr>
          <w:rFonts w:cs="Arial" w:ascii="Arial" w:hAnsi="Arial"/>
          <w:sz w:val="20"/>
        </w:rPr>
        <w:t>(c)</w:t>
        <w:tab/>
        <w:t>the ownership, transportation, storage, formulation, packaging, labelling, use, resale or disposal of any Products (whether or not in the form supplied or with any change to their composition or used in combination with other materials); or</w:t>
      </w:r>
    </w:p>
    <w:p>
      <w:pPr>
        <w:pStyle w:val="Normal"/>
        <w:jc w:val="both"/>
        <w:rPr>
          <w:rFonts w:ascii="Arial" w:hAnsi="Arial" w:cs="Arial"/>
          <w:sz w:val="20"/>
        </w:rPr>
      </w:pPr>
      <w:r>
        <w:rPr>
          <w:rFonts w:cs="Arial" w:ascii="Arial" w:hAnsi="Arial"/>
          <w:sz w:val="20"/>
        </w:rPr>
        <w:t>(d)</w:t>
        <w:tab/>
        <w:t>any failure on the part of Buyer or any of its assigns, consignees and nominees to comply with any applicable Laws and Regulations (as defined in Section 13.2) in relation to the Products or with the requirements of Section 17.14; or</w:t>
      </w:r>
    </w:p>
    <w:p>
      <w:pPr>
        <w:pStyle w:val="Normal"/>
        <w:jc w:val="both"/>
        <w:rPr>
          <w:rFonts w:ascii="Arial" w:hAnsi="Arial" w:cs="Arial"/>
          <w:sz w:val="20"/>
        </w:rPr>
      </w:pPr>
      <w:r>
        <w:rPr>
          <w:rFonts w:cs="Arial" w:ascii="Arial" w:hAnsi="Arial"/>
          <w:sz w:val="20"/>
        </w:rPr>
        <w:t>(e)</w:t>
        <w:tab/>
        <w:t>any death, personal injury or disease suffered by any person or loss of or damage to any property or harm or damage to the environment arising out of any of (a) to (d) above or any breach by Buyer under a Transaction,</w:t>
      </w:r>
    </w:p>
    <w:p>
      <w:pPr>
        <w:pStyle w:val="Normal"/>
        <w:jc w:val="both"/>
        <w:rPr>
          <w:rFonts w:ascii="Arial" w:hAnsi="Arial" w:cs="Arial"/>
          <w:sz w:val="20"/>
        </w:rPr>
      </w:pPr>
      <w:r>
        <w:rPr>
          <w:rFonts w:cs="Arial" w:ascii="Arial" w:hAnsi="Arial"/>
          <w:sz w:val="20"/>
        </w:rPr>
        <w:t>whether delivery is made to Buyer or any of its assigns, consignees or nominees and notwithstanding that any such Liabilities may be caused or contributed to by negligence on the part of Seller Provided that this indemnity shall not apply to the extent that any such Liabilities are caused by fraud or wilful default on the part of Seller or any other fault on the part of Seller liability to Buyer for which cannot, as a matter of English law, be excluded. Buyer's obligations under this Section 4 shall survive any termination of a Transaction, irrespective of any permitted assignment pursuant to Section 17.10 or any sale or transfer or other disposal of Buyer's interest in the Products.</w:t>
      </w:r>
    </w:p>
    <w:p>
      <w:pPr>
        <w:pStyle w:val="Normal"/>
        <w:jc w:val="both"/>
        <w:rPr>
          <w:rFonts w:ascii="Arial" w:hAnsi="Arial" w:cs="Arial"/>
          <w:b/>
          <w:sz w:val="20"/>
        </w:rPr>
      </w:pPr>
      <w:r>
        <w:rPr>
          <w:rFonts w:cs="Arial" w:ascii="Arial" w:hAnsi="Arial"/>
          <w:b/>
          <w:sz w:val="20"/>
        </w:rPr>
        <w:t>5.</w:t>
        <w:tab/>
        <w:t>Default, Termination and Liquidation</w:t>
      </w:r>
    </w:p>
    <w:p>
      <w:pPr>
        <w:pStyle w:val="Normal"/>
        <w:jc w:val="both"/>
        <w:rPr>
          <w:rFonts w:ascii="Arial" w:hAnsi="Arial" w:cs="Arial"/>
          <w:sz w:val="20"/>
        </w:rPr>
      </w:pPr>
      <w:r>
        <w:rPr>
          <w:rFonts w:cs="Arial" w:ascii="Arial" w:hAnsi="Arial"/>
          <w:sz w:val="20"/>
        </w:rPr>
        <w:t>5.1</w:t>
        <w:tab/>
        <w:t>Notwithstanding any other provision of this GTC, a default under a Transaction shall occur and be deemed to occur and a Party shall be deemed to be in default and to have repudiated a Transaction if:</w:t>
      </w:r>
    </w:p>
    <w:p>
      <w:pPr>
        <w:pStyle w:val="Normal"/>
        <w:jc w:val="both"/>
        <w:rPr>
          <w:rFonts w:ascii="Arial" w:hAnsi="Arial" w:cs="Arial"/>
          <w:sz w:val="20"/>
        </w:rPr>
      </w:pPr>
      <w:r>
        <w:rPr>
          <w:rFonts w:cs="Arial" w:ascii="Arial" w:hAnsi="Arial"/>
          <w:sz w:val="20"/>
        </w:rPr>
        <w:t>(a)</w:t>
        <w:tab/>
        <w:t>that Party fails to make payment in full when due under a Transaction;</w:t>
      </w:r>
    </w:p>
    <w:p>
      <w:pPr>
        <w:pStyle w:val="Normal"/>
        <w:jc w:val="both"/>
        <w:rPr>
          <w:rFonts w:ascii="Arial" w:hAnsi="Arial" w:cs="Arial"/>
          <w:sz w:val="20"/>
        </w:rPr>
      </w:pPr>
      <w:r>
        <w:rPr>
          <w:rFonts w:cs="Arial" w:ascii="Arial" w:hAnsi="Arial"/>
          <w:sz w:val="20"/>
        </w:rPr>
        <w:t>(b)</w:t>
        <w:tab/>
        <w:t>that Party fails to provide acceptable security or assurances of performance to Seller in accordance with Sections 2.1 and 2.2;</w:t>
      </w:r>
    </w:p>
    <w:p>
      <w:pPr>
        <w:pStyle w:val="Normal"/>
        <w:jc w:val="both"/>
        <w:rPr/>
      </w:pPr>
      <w:r>
        <w:rPr>
          <w:rFonts w:cs="Arial" w:ascii="Arial" w:hAnsi="Arial"/>
          <w:sz w:val="20"/>
        </w:rPr>
        <w:t>(c)</w:t>
        <w:tab/>
        <w:t>that Party (or the issuer of a guarantee or letter of credit in relation to that Party's obligations under a Transaction - the "</w:t>
      </w:r>
      <w:r>
        <w:rPr>
          <w:rFonts w:cs="Arial" w:ascii="Arial" w:hAnsi="Arial"/>
          <w:b/>
          <w:sz w:val="20"/>
        </w:rPr>
        <w:t>Issuer</w:t>
      </w:r>
      <w:r>
        <w:rPr>
          <w:rFonts w:cs="Arial" w:ascii="Arial" w:hAnsi="Arial"/>
          <w:sz w:val="20"/>
        </w:rPr>
        <w:t>" - fails or defaults) with respect to any guarantee of performance or letter of credit provided under a Transaction as security for the obligations of that Party;</w:t>
      </w:r>
    </w:p>
    <w:p>
      <w:pPr>
        <w:pStyle w:val="Normal"/>
        <w:jc w:val="both"/>
        <w:rPr>
          <w:rFonts w:ascii="Arial" w:hAnsi="Arial" w:cs="Arial"/>
          <w:sz w:val="20"/>
        </w:rPr>
      </w:pPr>
      <w:r>
        <w:rPr>
          <w:rFonts w:cs="Arial" w:ascii="Arial" w:hAnsi="Arial"/>
          <w:sz w:val="20"/>
        </w:rPr>
        <w:t>(d)</w:t>
        <w:tab/>
        <w:t>that Party fails to take receipt or accept delivery or discharge of any Products in breach of a Transaction;</w:t>
      </w:r>
    </w:p>
    <w:p>
      <w:pPr>
        <w:pStyle w:val="Normal"/>
        <w:jc w:val="both"/>
        <w:rPr>
          <w:rFonts w:ascii="Arial" w:hAnsi="Arial" w:cs="Arial"/>
          <w:sz w:val="20"/>
        </w:rPr>
      </w:pPr>
      <w:r>
        <w:rPr>
          <w:rFonts w:cs="Arial" w:ascii="Arial" w:hAnsi="Arial"/>
          <w:sz w:val="20"/>
        </w:rPr>
        <w:t>(e)</w:t>
        <w:tab/>
        <w:t>that Party otherwise breaches any representation, covenant, warranty or obligation under a Transaction;</w:t>
      </w:r>
    </w:p>
    <w:p>
      <w:pPr>
        <w:pStyle w:val="Normal"/>
        <w:jc w:val="both"/>
        <w:rPr>
          <w:rFonts w:ascii="Arial" w:hAnsi="Arial" w:cs="Arial"/>
          <w:sz w:val="20"/>
        </w:rPr>
      </w:pPr>
      <w:r>
        <w:rPr>
          <w:rFonts w:cs="Arial" w:ascii="Arial" w:hAnsi="Arial"/>
          <w:sz w:val="20"/>
        </w:rPr>
        <w:t>(f)</w:t>
        <w:tab/>
        <w:t xml:space="preserve">that Party or any Issuer is guilty of any such failure or breach in relation to any Transaction and such failure or breach remains uncured after any applicable grace or notice period has elapsed; </w:t>
      </w:r>
    </w:p>
    <w:p>
      <w:pPr>
        <w:pStyle w:val="Normal"/>
        <w:jc w:val="both"/>
        <w:rPr>
          <w:rFonts w:ascii="Arial" w:hAnsi="Arial" w:cs="Arial"/>
          <w:sz w:val="20"/>
        </w:rPr>
      </w:pPr>
      <w:r>
        <w:rPr>
          <w:rFonts w:cs="Arial" w:ascii="Arial" w:hAnsi="Arial"/>
          <w:sz w:val="20"/>
        </w:rPr>
        <w:t>(g)</w:t>
        <w:tab/>
        <w:t>that Party or any Issuer is dissolved (other than pursuant to a consolidation, amalgamation or merger);</w:t>
      </w:r>
    </w:p>
    <w:p>
      <w:pPr>
        <w:pStyle w:val="Normal"/>
        <w:jc w:val="both"/>
        <w:rPr>
          <w:rFonts w:ascii="Arial" w:hAnsi="Arial" w:cs="Arial"/>
          <w:sz w:val="20"/>
        </w:rPr>
      </w:pPr>
      <w:r>
        <w:rPr>
          <w:rFonts w:cs="Arial" w:ascii="Arial" w:hAnsi="Arial"/>
          <w:sz w:val="20"/>
        </w:rPr>
        <w:t>(h)</w:t>
        <w:tab/>
        <w:t>that Party or any Issuer becomes insolvent or is unable to pay its debts or fails or admits in writing its inability generally to pay its debts as they become due;</w:t>
      </w:r>
    </w:p>
    <w:p>
      <w:pPr>
        <w:pStyle w:val="Normal"/>
        <w:jc w:val="both"/>
        <w:rPr>
          <w:rFonts w:ascii="Arial" w:hAnsi="Arial" w:cs="Arial"/>
          <w:sz w:val="20"/>
        </w:rPr>
      </w:pPr>
      <w:r>
        <w:rPr>
          <w:rFonts w:cs="Arial" w:ascii="Arial" w:hAnsi="Arial"/>
          <w:sz w:val="20"/>
        </w:rPr>
        <w:t>(i)</w:t>
        <w:tab/>
        <w:t>that Party or any Issuer makes a general assignment, arrangement or composition with or for the benefit of its creditors;</w:t>
      </w:r>
    </w:p>
    <w:p>
      <w:pPr>
        <w:pStyle w:val="Normal"/>
        <w:jc w:val="both"/>
        <w:rPr>
          <w:rFonts w:ascii="Arial" w:hAnsi="Arial" w:cs="Arial"/>
          <w:sz w:val="20"/>
        </w:rPr>
      </w:pPr>
      <w:r>
        <w:rPr>
          <w:rFonts w:cs="Arial" w:ascii="Arial" w:hAnsi="Arial"/>
          <w:sz w:val="20"/>
        </w:rPr>
        <w:t>(j)</w:t>
        <w:tab/>
        <w:t>that Party or any Issuer institutes or has instituted against it proceedings seeking a judgement of insolvency or bankruptcy or any other relief under any bankruptcy or insolvency law or other similar law affecting creditors' rights or a petition is presented for its winding up or liquidation, and, in the case of any such proceeding or petition instituted or presented against it, such proceeding or petition is not dismissed, discharged, stayed or restrained in each case within 30 days of the institution or presentation thereof;</w:t>
      </w:r>
    </w:p>
    <w:p>
      <w:pPr>
        <w:pStyle w:val="Normal"/>
        <w:jc w:val="both"/>
        <w:rPr>
          <w:rFonts w:ascii="Arial" w:hAnsi="Arial" w:cs="Arial"/>
          <w:sz w:val="20"/>
        </w:rPr>
      </w:pPr>
      <w:r>
        <w:rPr>
          <w:rFonts w:cs="Arial" w:ascii="Arial" w:hAnsi="Arial"/>
          <w:sz w:val="20"/>
        </w:rPr>
        <w:t>(k)</w:t>
        <w:tab/>
        <w:t>that Party or any Issuer has a resolution passed for its winding up, official management or liquidation (other than pursuant to a consolidation, amalgamation or merger);</w:t>
      </w:r>
    </w:p>
    <w:p>
      <w:pPr>
        <w:pStyle w:val="Normal"/>
        <w:jc w:val="both"/>
        <w:rPr>
          <w:rFonts w:ascii="Arial" w:hAnsi="Arial" w:cs="Arial"/>
          <w:sz w:val="20"/>
        </w:rPr>
      </w:pPr>
      <w:r>
        <w:rPr>
          <w:rFonts w:cs="Arial" w:ascii="Arial" w:hAnsi="Arial"/>
          <w:sz w:val="20"/>
        </w:rPr>
        <w:t>(l)</w:t>
        <w:tab/>
        <w:t>that Party or any Issuer seeks or becomes subject to the appointment of an administrator, provisional liquidator, conservator, receiver, trustee, custodian or other similar official for it or for all or substantially all its assets;</w:t>
      </w:r>
    </w:p>
    <w:p>
      <w:pPr>
        <w:pStyle w:val="Normal"/>
        <w:jc w:val="both"/>
        <w:rPr>
          <w:rFonts w:ascii="Arial" w:hAnsi="Arial" w:cs="Arial"/>
          <w:sz w:val="20"/>
        </w:rPr>
      </w:pPr>
      <w:r>
        <w:rPr>
          <w:rFonts w:cs="Arial" w:ascii="Arial" w:hAnsi="Arial"/>
          <w:sz w:val="20"/>
        </w:rPr>
        <w:t>(m)</w:t>
        <w:tab/>
        <w:t>that Party or any Issuer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p>
    <w:p>
      <w:pPr>
        <w:pStyle w:val="Normal"/>
        <w:jc w:val="both"/>
        <w:rPr>
          <w:rFonts w:ascii="Arial" w:hAnsi="Arial" w:cs="Arial"/>
          <w:sz w:val="20"/>
        </w:rPr>
      </w:pPr>
      <w:r>
        <w:rPr>
          <w:rFonts w:cs="Arial" w:ascii="Arial" w:hAnsi="Arial"/>
          <w:sz w:val="20"/>
        </w:rPr>
        <w:t>(n)</w:t>
        <w:tab/>
        <w:t>that Party or any Issuer convenes a meeting for the purpose of considering a voluntary arrangement;</w:t>
      </w:r>
    </w:p>
    <w:p>
      <w:pPr>
        <w:pStyle w:val="Normal"/>
        <w:jc w:val="both"/>
        <w:rPr>
          <w:rFonts w:ascii="Arial" w:hAnsi="Arial" w:cs="Arial"/>
          <w:sz w:val="20"/>
        </w:rPr>
      </w:pPr>
      <w:r>
        <w:rPr>
          <w:rFonts w:cs="Arial" w:ascii="Arial" w:hAnsi="Arial"/>
          <w:sz w:val="20"/>
        </w:rPr>
        <w:t>(o)</w:t>
        <w:tab/>
        <w:t xml:space="preserve">that Party or any Issuer causes or is subject to any event with respect to it which, under the applicable laws of any jurisdiction, has an analogous effect to any of the events specified in (g) to (n) (inclusive) above; </w:t>
      </w:r>
    </w:p>
    <w:p>
      <w:pPr>
        <w:pStyle w:val="Normal"/>
        <w:jc w:val="both"/>
        <w:rPr>
          <w:rFonts w:ascii="Arial" w:hAnsi="Arial" w:cs="Arial"/>
          <w:sz w:val="20"/>
        </w:rPr>
      </w:pPr>
      <w:r>
        <w:rPr>
          <w:rFonts w:cs="Arial" w:ascii="Arial" w:hAnsi="Arial"/>
          <w:sz w:val="20"/>
        </w:rPr>
        <w:t>(p)</w:t>
        <w:tab/>
        <w:t>that Party or any Issuer takes any action in furtherance of or indicating its consent to, approval of, or acquiescence in, any of the events specified in (g) to (o) (inclusive) above; or</w:t>
      </w:r>
    </w:p>
    <w:p>
      <w:pPr>
        <w:pStyle w:val="Normal"/>
        <w:jc w:val="both"/>
        <w:rPr>
          <w:rFonts w:ascii="Arial" w:hAnsi="Arial" w:cs="Arial"/>
          <w:sz w:val="20"/>
        </w:rPr>
      </w:pPr>
      <w:r>
        <w:rPr>
          <w:rFonts w:cs="Arial" w:ascii="Arial" w:hAnsi="Arial"/>
          <w:sz w:val="20"/>
        </w:rPr>
        <w:t>(q)</w:t>
        <w:tab/>
        <w:t>a change of ownership occurs with respect to a Party, unless such Party is Enron.</w:t>
      </w:r>
    </w:p>
    <w:p>
      <w:pPr>
        <w:pStyle w:val="Normal"/>
        <w:jc w:val="both"/>
        <w:rPr/>
      </w:pPr>
      <w:r>
        <w:rPr>
          <w:rFonts w:cs="Arial" w:ascii="Arial" w:hAnsi="Arial"/>
          <w:sz w:val="20"/>
        </w:rPr>
        <w:t>(in each case, a "</w:t>
      </w:r>
      <w:r>
        <w:rPr>
          <w:rFonts w:cs="Arial" w:ascii="Arial" w:hAnsi="Arial"/>
          <w:b/>
          <w:sz w:val="20"/>
        </w:rPr>
        <w:t>Default</w:t>
      </w:r>
      <w:r>
        <w:rPr>
          <w:rFonts w:cs="Arial" w:ascii="Arial" w:hAnsi="Arial"/>
          <w:sz w:val="20"/>
        </w:rPr>
        <w:t>".)</w:t>
      </w:r>
    </w:p>
    <w:p>
      <w:pPr>
        <w:pStyle w:val="Normal"/>
        <w:jc w:val="both"/>
        <w:rPr/>
      </w:pPr>
      <w:r>
        <w:rPr>
          <w:rFonts w:cs="Arial" w:ascii="Arial" w:hAnsi="Arial"/>
          <w:sz w:val="20"/>
        </w:rPr>
        <w:t>5.2</w:t>
        <w:tab/>
        <w:t>Notwithstanding any other provision of this GTC, in the event that either Party is in Default (the Party in default being herein referred to as the "</w:t>
      </w:r>
      <w:r>
        <w:rPr>
          <w:rFonts w:cs="Arial" w:ascii="Arial" w:hAnsi="Arial"/>
          <w:b/>
          <w:sz w:val="20"/>
        </w:rPr>
        <w:t>Defaulting Party</w:t>
      </w:r>
      <w:r>
        <w:rPr>
          <w:rFonts w:cs="Arial" w:ascii="Arial" w:hAnsi="Arial"/>
          <w:sz w:val="20"/>
        </w:rPr>
        <w:t>"), the Defaulting Party shall forthwith give notice thereof to the other Party (the "</w:t>
      </w:r>
      <w:r>
        <w:rPr>
          <w:rFonts w:cs="Arial" w:ascii="Arial" w:hAnsi="Arial"/>
          <w:b/>
          <w:sz w:val="20"/>
        </w:rPr>
        <w:t>Non-Defaulting Party</w:t>
      </w:r>
      <w:r>
        <w:rPr>
          <w:rFonts w:cs="Arial" w:ascii="Arial" w:hAnsi="Arial"/>
          <w:sz w:val="20"/>
        </w:rPr>
        <w:t>") and the Non-Defaulting Party,</w:t>
      </w:r>
      <w:r>
        <w:rPr>
          <w:rFonts w:cs="Arial" w:ascii="Arial" w:hAnsi="Arial"/>
          <w:b/>
          <w:sz w:val="20"/>
        </w:rPr>
        <w:t xml:space="preserve"> </w:t>
      </w:r>
      <w:r>
        <w:rPr>
          <w:rFonts w:cs="Arial" w:ascii="Arial" w:hAnsi="Arial"/>
          <w:sz w:val="20"/>
        </w:rPr>
        <w:t>in its sole discretion, shall, by or at any time after giving notice specifying the nature of the Default to the Defaulting Party (in writing, or orally and later confirmed in writing, except in case of a Default specified in Section 5.1(g) to (p) inclusive, in which case no notice is required), be entitled to do any or all of the following:</w:t>
      </w:r>
    </w:p>
    <w:p>
      <w:pPr>
        <w:pStyle w:val="Normal"/>
        <w:jc w:val="both"/>
        <w:rPr>
          <w:rFonts w:ascii="Arial" w:hAnsi="Arial" w:cs="Arial"/>
          <w:sz w:val="20"/>
        </w:rPr>
      </w:pPr>
      <w:r>
        <w:rPr>
          <w:rFonts w:cs="Arial" w:ascii="Arial" w:hAnsi="Arial"/>
          <w:sz w:val="20"/>
        </w:rPr>
        <w:t>(a)</w:t>
        <w:tab/>
        <w:t>suspend its performance under any or all Transactions, (including, without limitation, where Buyer is the Defaulting Party, withholding the delivery of any Products or refusing to load any vessel nominated by Buyer, whether or not such nomination has been accepted);</w:t>
      </w:r>
    </w:p>
    <w:p>
      <w:pPr>
        <w:pStyle w:val="Normal"/>
        <w:jc w:val="both"/>
        <w:rPr>
          <w:rFonts w:ascii="Arial" w:hAnsi="Arial" w:cs="Arial"/>
          <w:sz w:val="20"/>
        </w:rPr>
      </w:pPr>
      <w:r>
        <w:rPr>
          <w:rFonts w:cs="Arial" w:ascii="Arial" w:hAnsi="Arial"/>
          <w:sz w:val="20"/>
        </w:rPr>
        <w:t>(b)</w:t>
        <w:tab/>
        <w:t>if the Defaulting Party is Buyer and Seller has delivered the Products to Buyer or its consignee in accordance with a Transaction, take possession of and/or collect upon and/or otherwise enforce any security provided by or on behalf of the Defaulting Party;</w:t>
      </w:r>
    </w:p>
    <w:p>
      <w:pPr>
        <w:pStyle w:val="Normal"/>
        <w:jc w:val="both"/>
        <w:rPr>
          <w:rFonts w:ascii="Arial" w:hAnsi="Arial" w:cs="Arial"/>
          <w:sz w:val="20"/>
        </w:rPr>
      </w:pPr>
      <w:r>
        <w:rPr>
          <w:rFonts w:cs="Arial" w:ascii="Arial" w:hAnsi="Arial"/>
          <w:sz w:val="20"/>
        </w:rPr>
        <w:t>(c)</w:t>
        <w:tab/>
        <w:t>liquidate any or all "Unperformed Contracts" (as defined in Section 5.5) then outstanding at any time or from time to time thereafter by declaring in such notice all such Unperformed Contracts terminated (whereupon they shall immediately be terminated, but without prejudice to the rights of the Parties under the following provisions of this Section 5 or under Section 17.7)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5.1(g) to (p) inclusive); and/or</w:t>
      </w:r>
    </w:p>
    <w:p>
      <w:pPr>
        <w:pStyle w:val="Normal"/>
        <w:jc w:val="both"/>
        <w:rPr>
          <w:rFonts w:ascii="Arial" w:hAnsi="Arial" w:cs="Arial"/>
          <w:sz w:val="20"/>
        </w:rPr>
      </w:pPr>
      <w:r>
        <w:rPr>
          <w:rFonts w:cs="Arial" w:ascii="Arial" w:hAnsi="Arial"/>
          <w:sz w:val="20"/>
        </w:rPr>
        <w:t>(d)</w:t>
        <w:tab/>
        <w:t>exercise its rights under Section 5.4.</w:t>
      </w:r>
    </w:p>
    <w:p>
      <w:pPr>
        <w:pStyle w:val="Normal"/>
        <w:jc w:val="both"/>
        <w:rPr>
          <w:rFonts w:ascii="Arial" w:hAnsi="Arial" w:cs="Arial"/>
          <w:sz w:val="20"/>
        </w:rPr>
      </w:pPr>
      <w:r>
        <w:rPr>
          <w:rFonts w:cs="Arial" w:ascii="Arial" w:hAnsi="Arial"/>
          <w:sz w:val="20"/>
        </w:rPr>
        <w:t>5.3</w:t>
        <w:tab/>
        <w:t>In the event that any Unperformed Contract(s) is or are terminated under Section 5.2 the following action shall be taken:</w:t>
      </w:r>
    </w:p>
    <w:p>
      <w:pPr>
        <w:pStyle w:val="Normal"/>
        <w:jc w:val="both"/>
        <w:rPr/>
      </w:pPr>
      <w:r>
        <w:rPr>
          <w:rFonts w:cs="Arial" w:ascii="Arial" w:hAnsi="Arial"/>
          <w:sz w:val="20"/>
        </w:rPr>
        <w:t>(a)</w:t>
        <w:tab/>
        <w:t>the Non-Defaulting Party shall calculate its damages or gain ("</w:t>
      </w:r>
      <w:r>
        <w:rPr>
          <w:rFonts w:cs="Arial" w:ascii="Arial" w:hAnsi="Arial"/>
          <w:b/>
          <w:sz w:val="20"/>
        </w:rPr>
        <w:t>Liquidation Amount</w:t>
      </w:r>
      <w:r>
        <w:rPr>
          <w:rFonts w:cs="Arial" w:ascii="Arial" w:hAnsi="Arial"/>
          <w:sz w:val="20"/>
        </w:rPr>
        <w:t>") resulting from the termination of each and every such Unperformed Contract. The Liquidation Amount will be determined (such determination to be conclusive and binding in the absence of manifest error) by the Non-Defaulting Party by calculating the difference, if any, between the then prevailing market price of equivalent Products for delivery at or about the same time and place as provided for in such Unperformed Contract (as determined by the Non-Defaulting Party in a commercially reasonable manner at a time or times reasonably determined by such Party) and the contract price specified in such Unperformed Contract; and</w:t>
      </w:r>
    </w:p>
    <w:p>
      <w:pPr>
        <w:pStyle w:val="Normal"/>
        <w:jc w:val="both"/>
        <w:rPr/>
      </w:pPr>
      <w:r>
        <w:rPr>
          <w:rFonts w:cs="Arial" w:ascii="Arial" w:hAnsi="Arial"/>
          <w:sz w:val="20"/>
        </w:rPr>
        <w:t>(b)</w:t>
        <w:tab/>
        <w:t>there shall be set off, netted or aggregated, as appropriate, all Liquidation Amounts (as determined in sub-clause (a)) together with any amount payable under Section 5.6, so that all such amounts are aggregated or netted to a single liquidated amount ("</w:t>
      </w:r>
      <w:r>
        <w:rPr>
          <w:rFonts w:cs="Arial" w:ascii="Arial" w:hAnsi="Arial"/>
          <w:b/>
          <w:sz w:val="20"/>
        </w:rPr>
        <w:t>Termination Payment</w:t>
      </w:r>
      <w:r>
        <w:rPr>
          <w:rFonts w:cs="Arial" w:ascii="Arial" w:hAnsi="Arial"/>
          <w:sz w:val="20"/>
        </w:rPr>
        <w:t>") representing the damages incurred by the Non-Defaulting Party and the amounts payable under Clause 5.6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5.1(g) to (p) inclusive in which case (but only in that case) the Non-Defaulting Party shall be liable to pay to the Defaulting Party an amount equal to any gain accruing to the Non-Defaulting Party less the sum of the damages incurred by it and any amount payable under Clause 5.6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5, each Party shall pay to the other Party all additional amounts payable by it pursuant to a Transaction, but all such amounts shall be netted and aggregated with any Termination Payment payable hereunder.</w:t>
      </w:r>
    </w:p>
    <w:p>
      <w:pPr>
        <w:pStyle w:val="Normal"/>
        <w:jc w:val="both"/>
        <w:rPr>
          <w:rFonts w:ascii="Arial" w:hAnsi="Arial" w:cs="Arial"/>
          <w:sz w:val="20"/>
        </w:rPr>
      </w:pPr>
      <w:r>
        <w:rPr>
          <w:rFonts w:cs="Arial" w:ascii="Arial" w:hAnsi="Arial"/>
          <w:sz w:val="20"/>
        </w:rPr>
        <w:t>5.4</w:t>
        <w:tab/>
        <w:t xml:space="preserve">If a Default occurs, then: </w:t>
      </w:r>
    </w:p>
    <w:p>
      <w:pPr>
        <w:pStyle w:val="Normal"/>
        <w:jc w:val="both"/>
        <w:rPr>
          <w:rFonts w:ascii="Arial" w:hAnsi="Arial" w:cs="Arial"/>
          <w:sz w:val="20"/>
        </w:rPr>
      </w:pPr>
      <w:r>
        <w:rPr>
          <w:rFonts w:cs="Arial" w:ascii="Arial" w:hAnsi="Arial"/>
          <w:sz w:val="20"/>
        </w:rPr>
        <w:t>(a)</w:t>
        <w:tab/>
        <w:t>if under a Transaction the property in the Products has already passed to Buyer but the price is not yet due and payable, the Non-Defaulting Party may by notice (in writing, or orally and later confirmed in writing) declare (and there shall thereupon become) immediately due and payable the price for those Products; and/or</w:t>
      </w:r>
    </w:p>
    <w:p>
      <w:pPr>
        <w:pStyle w:val="Normal"/>
        <w:jc w:val="both"/>
        <w:rPr>
          <w:rFonts w:ascii="Arial" w:hAnsi="Arial" w:cs="Arial"/>
          <w:sz w:val="20"/>
        </w:rPr>
      </w:pPr>
      <w:r>
        <w:rPr>
          <w:rFonts w:cs="Arial" w:ascii="Arial" w:hAnsi="Arial"/>
          <w:sz w:val="20"/>
        </w:rPr>
        <w:t>(b)</w:t>
        <w:tab/>
        <w:t>the Non-Defaulting Party may from time to time set off any or all amounts which the Defaulting Party owes to it (under a Transaction and whether or not then due and whether or not including any such Termination Payment as is referred to in Section 5.3(b)) against any or all amounts which it owes to the Defaulting Party (under a Transaction and whether or not then due and whether or not including any such Termination Payment as is referred to in Section 5.3(b)).</w:t>
      </w:r>
    </w:p>
    <w:p>
      <w:pPr>
        <w:pStyle w:val="Normal"/>
        <w:jc w:val="both"/>
        <w:rPr/>
      </w:pPr>
      <w:r>
        <w:rPr>
          <w:rFonts w:cs="Arial" w:ascii="Arial" w:hAnsi="Arial"/>
          <w:sz w:val="20"/>
        </w:rPr>
        <w:t>5.5</w:t>
        <w:tab/>
        <w:t>For purposes of this GTC, "</w:t>
      </w:r>
      <w:r>
        <w:rPr>
          <w:rFonts w:cs="Arial" w:ascii="Arial" w:hAnsi="Arial"/>
          <w:b/>
          <w:sz w:val="20"/>
        </w:rPr>
        <w:t>Unperformed Contract</w:t>
      </w:r>
      <w:r>
        <w:rPr>
          <w:rFonts w:cs="Arial" w:ascii="Arial" w:hAnsi="Arial"/>
          <w:sz w:val="20"/>
        </w:rPr>
        <w:t>"</w:t>
      </w:r>
      <w:r>
        <w:rPr>
          <w:rFonts w:cs="Arial" w:ascii="Arial" w:hAnsi="Arial"/>
          <w:b/>
          <w:sz w:val="20"/>
        </w:rPr>
        <w:t xml:space="preserve"> </w:t>
      </w:r>
      <w:r>
        <w:rPr>
          <w:rFonts w:cs="Arial" w:ascii="Arial" w:hAnsi="Arial"/>
          <w:sz w:val="20"/>
        </w:rPr>
        <w:t>means any Transaction if the property in the Products agreed to be sold thereunder has not already passed to Buyer.</w:t>
      </w:r>
    </w:p>
    <w:p>
      <w:pPr>
        <w:pStyle w:val="Normal"/>
        <w:jc w:val="both"/>
        <w:rPr>
          <w:rFonts w:ascii="Arial" w:hAnsi="Arial" w:cs="Arial"/>
          <w:sz w:val="20"/>
        </w:rPr>
      </w:pPr>
      <w:r>
        <w:rPr>
          <w:rFonts w:cs="Arial" w:ascii="Arial" w:hAnsi="Arial"/>
          <w:sz w:val="20"/>
        </w:rPr>
        <w:t>5.6</w:t>
        <w:tab/>
        <w:t>The Defaulting Party shall, notwithstanding Section 7,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5 shall survive any termination of a Transaction.</w:t>
      </w:r>
    </w:p>
    <w:p>
      <w:pPr>
        <w:pStyle w:val="Normal"/>
        <w:jc w:val="both"/>
        <w:rPr>
          <w:rFonts w:ascii="Arial" w:hAnsi="Arial" w:cs="Arial"/>
          <w:sz w:val="20"/>
        </w:rPr>
      </w:pPr>
      <w:r>
        <w:rPr>
          <w:rFonts w:cs="Arial" w:ascii="Arial" w:hAnsi="Arial"/>
          <w:sz w:val="20"/>
        </w:rPr>
        <w:t>5.7</w:t>
        <w:tab/>
        <w:t>Subject to Section 7, the Non-Defaulting Party's rights under this Section 5 shall be in addition to, and not in limitation or exclusion of, any other rights or remedies which the Non-Defaulting Party may have (whether by agreement, operation of law or otherwise).</w:t>
      </w:r>
    </w:p>
    <w:p>
      <w:pPr>
        <w:pStyle w:val="Normal"/>
        <w:jc w:val="both"/>
        <w:rPr>
          <w:rFonts w:ascii="Arial" w:hAnsi="Arial" w:cs="Arial"/>
          <w:b/>
          <w:sz w:val="20"/>
        </w:rPr>
      </w:pPr>
      <w:r>
        <w:rPr>
          <w:rFonts w:cs="Arial" w:ascii="Arial" w:hAnsi="Arial"/>
          <w:b/>
          <w:sz w:val="20"/>
        </w:rPr>
        <w:t>6.</w:t>
        <w:tab/>
        <w:t>Force Majeure</w:t>
      </w:r>
    </w:p>
    <w:p>
      <w:pPr>
        <w:pStyle w:val="Normal"/>
        <w:jc w:val="both"/>
        <w:rPr/>
      </w:pPr>
      <w:r>
        <w:rPr>
          <w:rFonts w:cs="Arial" w:ascii="Arial" w:hAnsi="Arial"/>
          <w:sz w:val="20"/>
        </w:rPr>
        <w:t>6.1</w:t>
        <w:tab/>
        <w:t>A Party shall not be liable to the other if such Party is rendered unable by an event of Force Majeure (as defined below) to perform in whole or in part any obligation or condition of a Transaction (other than the obligation to make full and punctual payment of all amounts due under a Transaction) for so long as such event of Force Majeure exists (subject to Sections 6.3 and 6.4 below); provided, however, that the Party unable to perform ("</w:t>
      </w:r>
      <w:r>
        <w:rPr>
          <w:rFonts w:cs="Arial" w:ascii="Arial" w:hAnsi="Arial"/>
          <w:b/>
          <w:sz w:val="20"/>
        </w:rPr>
        <w:t>the Non-Performing Party</w:t>
      </w:r>
      <w:r>
        <w:rPr>
          <w:rFonts w:cs="Arial" w:ascii="Arial" w:hAnsi="Arial"/>
          <w:sz w:val="20"/>
        </w:rPr>
        <w:t>")</w:t>
      </w:r>
      <w:r>
        <w:rPr>
          <w:rFonts w:cs="Arial" w:ascii="Arial" w:hAnsi="Arial"/>
          <w:b/>
          <w:sz w:val="20"/>
        </w:rPr>
        <w:t xml:space="preserve"> </w:t>
      </w:r>
      <w:r>
        <w:rPr>
          <w:rFonts w:cs="Arial" w:ascii="Arial" w:hAnsi="Arial"/>
          <w:sz w:val="20"/>
        </w:rPr>
        <w:t>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jc w:val="both"/>
        <w:rPr>
          <w:rFonts w:ascii="Arial" w:hAnsi="Arial" w:cs="Arial"/>
          <w:sz w:val="20"/>
        </w:rPr>
      </w:pPr>
      <w:r>
        <w:rPr>
          <w:rFonts w:cs="Arial" w:ascii="Arial" w:hAnsi="Arial"/>
          <w:sz w:val="20"/>
        </w:rPr>
        <w:t>6.2</w:t>
        <w:tab/>
        <w:t>The Non-Performing Party shall promptly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w:t>
      </w:r>
    </w:p>
    <w:p>
      <w:pPr>
        <w:pStyle w:val="Normal"/>
        <w:jc w:val="both"/>
        <w:rPr>
          <w:rFonts w:ascii="Arial" w:hAnsi="Arial" w:cs="Arial"/>
          <w:sz w:val="20"/>
        </w:rPr>
      </w:pPr>
      <w:r>
        <w:rPr>
          <w:rFonts w:cs="Arial" w:ascii="Arial" w:hAnsi="Arial"/>
          <w:sz w:val="20"/>
        </w:rPr>
        <w:t>6.3</w:t>
        <w:tab/>
        <w:t>In the event that the Non-Performing Party's performance is suspended due to an event of Force Majeure in excess of thirty (30) consecutive calendar days from the date the notice of such event was given, either Party, in its sole discretion, may terminate a Transaction by written notice to the other Party, and neither Party shall have any further liability to the other, except for rights and remedies previously accrued under such Transaction and obligations to pay sums then due and owing. Subject to Section 6.4, if such Transaction is not terminated pursuant to this Section 6.3 (or pursuant to any other provision of such Transaction), performance under such Transaction shall resume to the extent made possible by the end or amelioration of the event of Force Majeure and the provisions of such Transaction shall continue to apply, including, without limitation, those as to price.</w:t>
      </w:r>
    </w:p>
    <w:p>
      <w:pPr>
        <w:pStyle w:val="Normal"/>
        <w:jc w:val="both"/>
        <w:rPr>
          <w:rFonts w:ascii="Arial" w:hAnsi="Arial" w:cs="Arial"/>
          <w:sz w:val="20"/>
        </w:rPr>
      </w:pPr>
      <w:r>
        <w:rPr>
          <w:rFonts w:cs="Arial" w:ascii="Arial" w:hAnsi="Arial"/>
          <w:sz w:val="20"/>
        </w:rPr>
        <w:t>6.4</w:t>
        <w:tab/>
        <w:t>If Buyer is to receive more than one delivery of Products under a Transaction, and there is an event of Force Majeure such as is referred to in Section 6.3 but such Transaction is not terminated as provided in Section 6.3, then the quantity of Products not delivered or received during the duration of an event of Force Majeure shall be deducted from the total quantity which Seller is required to deliver to Buyer under such Transaction.</w:t>
      </w:r>
    </w:p>
    <w:p>
      <w:pPr>
        <w:pStyle w:val="Normal"/>
        <w:jc w:val="both"/>
        <w:rPr>
          <w:rFonts w:ascii="Arial" w:hAnsi="Arial" w:cs="Arial"/>
          <w:sz w:val="20"/>
        </w:rPr>
      </w:pPr>
      <w:r>
        <w:rPr>
          <w:rFonts w:cs="Arial" w:ascii="Arial" w:hAnsi="Arial"/>
          <w:sz w:val="20"/>
        </w:rPr>
        <w:t>6.5</w:t>
        <w:tab/>
        <w:t>If, as a result of Force Majeure, Seller is unable to perform its obligation to deliver Products to Buyer as well as to Seller's other customers, Seller may allocate its available supply of Products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jc w:val="both"/>
        <w:rPr/>
      </w:pPr>
      <w:r>
        <w:rPr>
          <w:rFonts w:cs="Arial" w:ascii="Arial" w:hAnsi="Arial"/>
          <w:sz w:val="20"/>
        </w:rPr>
        <w:t>6.6</w:t>
        <w:tab/>
        <w:t>As used herein, the term "</w:t>
      </w:r>
      <w:r>
        <w:rPr>
          <w:rFonts w:cs="Arial" w:ascii="Arial" w:hAnsi="Arial"/>
          <w:b/>
          <w:sz w:val="20"/>
        </w:rPr>
        <w:t>Force Majeure</w:t>
      </w:r>
      <w:r>
        <w:rPr>
          <w:rFonts w:cs="Arial" w:ascii="Arial" w:hAnsi="Arial"/>
          <w:sz w:val="20"/>
        </w:rPr>
        <w:t>" shall mean: (a) fires, earthquakes, lightning, floods and other acts of natural calamity or acts of God; adverse weather; navigational accidents; vessel damage or loss; strikes, grievances or actions by or among workers, lock-outs, or other labour disturbances (whether or not such labour difficulty could be settled by acceding to any demands of any such labour group of individuals); accidents at, closing of or restrictions upon the use of mooring facilities, docks, harbours,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20"/>
        </w:rPr>
        <w:t>Governmental Authority</w:t>
      </w:r>
      <w:r>
        <w:rPr>
          <w:rFonts w:cs="Arial" w:ascii="Arial" w:hAnsi="Arial"/>
          <w:sz w:val="20"/>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the Non-Performing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a Transaction nor (ii) Seller's ability to sell the Products to a market at a more advantageous price, shall constitute an event of Force Majeure.</w:t>
      </w:r>
    </w:p>
    <w:p>
      <w:pPr>
        <w:pStyle w:val="Normal"/>
        <w:jc w:val="both"/>
        <w:rPr>
          <w:rFonts w:ascii="Arial" w:hAnsi="Arial" w:cs="Arial"/>
          <w:b/>
          <w:sz w:val="20"/>
        </w:rPr>
      </w:pPr>
      <w:r>
        <w:rPr>
          <w:rFonts w:cs="Arial" w:ascii="Arial" w:hAnsi="Arial"/>
          <w:b/>
          <w:sz w:val="20"/>
        </w:rPr>
        <w:t>7.</w:t>
        <w:tab/>
        <w:t>Limitation of Remedies</w:t>
      </w:r>
    </w:p>
    <w:p>
      <w:pPr>
        <w:pStyle w:val="Normal"/>
        <w:jc w:val="both"/>
        <w:rPr>
          <w:rFonts w:ascii="Arial" w:hAnsi="Arial" w:cs="Arial"/>
          <w:sz w:val="20"/>
        </w:rPr>
      </w:pPr>
      <w:r>
        <w:rPr>
          <w:rFonts w:cs="Arial" w:ascii="Arial" w:hAnsi="Arial"/>
          <w:sz w:val="20"/>
        </w:rPr>
        <w:t>7.1</w:t>
        <w:tab/>
        <w:t>Subject to Section 7.3,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However,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Normal"/>
        <w:jc w:val="both"/>
        <w:rPr>
          <w:rFonts w:ascii="Arial" w:hAnsi="Arial" w:cs="Arial"/>
          <w:sz w:val="20"/>
        </w:rPr>
      </w:pPr>
      <w:r>
        <w:rPr>
          <w:rFonts w:cs="Arial" w:ascii="Arial" w:hAnsi="Arial"/>
          <w:sz w:val="20"/>
        </w:rPr>
        <w:t>7.2</w:t>
        <w:tab/>
        <w:t>In particular, and without limiting the generality of Section 7.1, but subject to Section 7.3, Seller shall not be liable (except to the extent expressly provided in this GTC) for more than any amount by which the prevailing market price exceeds the contract price with respect to the Products to be delivered under a Transaction,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Normal"/>
        <w:jc w:val="both"/>
        <w:rPr>
          <w:rFonts w:ascii="Arial" w:hAnsi="Arial" w:cs="Arial"/>
          <w:sz w:val="20"/>
        </w:rPr>
      </w:pPr>
      <w:r>
        <w:rPr>
          <w:rFonts w:cs="Arial" w:ascii="Arial" w:hAnsi="Arial"/>
          <w:sz w:val="20"/>
        </w:rPr>
        <w:t>7.3</w:t>
        <w:tab/>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rFonts w:ascii="Arial" w:hAnsi="Arial" w:cs="Arial"/>
          <w:b/>
          <w:sz w:val="20"/>
        </w:rPr>
      </w:pPr>
      <w:r>
        <w:rPr>
          <w:rFonts w:cs="Arial" w:ascii="Arial" w:hAnsi="Arial"/>
          <w:b/>
          <w:sz w:val="20"/>
        </w:rPr>
        <w:t>8.</w:t>
        <w:tab/>
        <w:t>Taxes</w:t>
      </w:r>
    </w:p>
    <w:p>
      <w:pPr>
        <w:pStyle w:val="Normal"/>
        <w:jc w:val="both"/>
        <w:rPr/>
      </w:pPr>
      <w:r>
        <w:rPr>
          <w:rFonts w:cs="Arial" w:ascii="Arial" w:hAnsi="Arial"/>
          <w:sz w:val="20"/>
        </w:rPr>
        <w:t>8.1</w:t>
        <w:tab/>
        <w:t>The provisions set out in Sections 8.2 to 8.9 (inclusive) shall apply only where supplies of the Products are being made from, to or within the European Community ("</w:t>
      </w:r>
      <w:r>
        <w:rPr>
          <w:rFonts w:cs="Arial" w:ascii="Arial" w:hAnsi="Arial"/>
          <w:b/>
          <w:sz w:val="20"/>
        </w:rPr>
        <w:t>EC</w:t>
      </w:r>
      <w:r>
        <w:rPr>
          <w:rFonts w:cs="Arial" w:ascii="Arial" w:hAnsi="Arial"/>
          <w:sz w:val="20"/>
        </w:rPr>
        <w:t>"). Sections 8.11, 8.12 and 8.13 shall apply generally.</w:t>
      </w:r>
    </w:p>
    <w:p>
      <w:pPr>
        <w:pStyle w:val="Normal"/>
        <w:jc w:val="both"/>
        <w:rPr>
          <w:rFonts w:ascii="Arial" w:hAnsi="Arial" w:cs="Arial"/>
          <w:b/>
          <w:sz w:val="20"/>
        </w:rPr>
      </w:pPr>
      <w:r>
        <w:rPr>
          <w:rFonts w:cs="Arial" w:ascii="Arial" w:hAnsi="Arial"/>
          <w:b/>
          <w:sz w:val="20"/>
        </w:rPr>
        <w:t>VAT</w:t>
      </w:r>
    </w:p>
    <w:p>
      <w:pPr>
        <w:pStyle w:val="Normal"/>
        <w:jc w:val="both"/>
        <w:rPr/>
      </w:pPr>
      <w:r>
        <w:rPr>
          <w:rFonts w:cs="Arial" w:ascii="Arial" w:hAnsi="Arial"/>
          <w:sz w:val="20"/>
        </w:rPr>
        <w:t>8.2</w:t>
        <w:tab/>
        <w:t>Where value added tax or similar tax ("</w:t>
      </w:r>
      <w:r>
        <w:rPr>
          <w:rFonts w:cs="Arial" w:ascii="Arial" w:hAnsi="Arial"/>
          <w:b/>
          <w:sz w:val="20"/>
        </w:rPr>
        <w:t>VAT</w:t>
      </w:r>
      <w:r>
        <w:rPr>
          <w:rFonts w:cs="Arial" w:ascii="Arial" w:hAnsi="Arial"/>
          <w:sz w:val="20"/>
        </w:rPr>
        <w:t>") becomes payable under the rules applicable in the place where the Products are supplied (the "</w:t>
      </w:r>
      <w:r>
        <w:rPr>
          <w:rFonts w:cs="Arial" w:ascii="Arial" w:hAnsi="Arial"/>
          <w:b/>
          <w:sz w:val="20"/>
        </w:rPr>
        <w:t>place of supply</w:t>
      </w:r>
      <w:r>
        <w:rPr>
          <w:rFonts w:cs="Arial" w:ascii="Arial" w:hAnsi="Arial"/>
          <w:sz w:val="20"/>
        </w:rPr>
        <w:t>") (subject to any deferment provisions), Seller shall issue an invoice setting out such VAT and the date for its payment. Payment of such VAT shall be made to Seller in addition to the contract price and any duty payable and shall be made in the same manner as is provided for payment of such price.</w:t>
      </w:r>
    </w:p>
    <w:p>
      <w:pPr>
        <w:pStyle w:val="Normal"/>
        <w:jc w:val="both"/>
        <w:rPr>
          <w:rFonts w:ascii="Arial" w:hAnsi="Arial" w:cs="Arial"/>
          <w:sz w:val="20"/>
        </w:rPr>
      </w:pPr>
      <w:r>
        <w:rPr>
          <w:rFonts w:cs="Arial" w:ascii="Arial" w:hAnsi="Arial"/>
          <w:sz w:val="20"/>
        </w:rPr>
        <w:t>8.3</w:t>
        <w:tab/>
        <w:t>A sale of Products may be zero rated for VAT purposes provided that:-</w:t>
      </w:r>
    </w:p>
    <w:p>
      <w:pPr>
        <w:pStyle w:val="Normal"/>
        <w:jc w:val="both"/>
        <w:rPr>
          <w:rFonts w:ascii="Arial" w:hAnsi="Arial" w:cs="Arial"/>
          <w:sz w:val="20"/>
        </w:rPr>
      </w:pPr>
      <w:r>
        <w:rPr>
          <w:rFonts w:cs="Arial" w:ascii="Arial" w:hAnsi="Arial"/>
          <w:sz w:val="20"/>
        </w:rPr>
        <w:t>(a)</w:t>
        <w:tab/>
        <w:t>if the destination of the Products is within the EC, Buyer provides to Seller:-</w:t>
      </w:r>
    </w:p>
    <w:p>
      <w:pPr>
        <w:pStyle w:val="Normal"/>
        <w:jc w:val="both"/>
        <w:rPr>
          <w:rFonts w:ascii="Arial" w:hAnsi="Arial" w:cs="Arial"/>
          <w:sz w:val="20"/>
        </w:rPr>
      </w:pPr>
      <w:r>
        <w:rPr>
          <w:rFonts w:cs="Arial" w:ascii="Arial" w:hAnsi="Arial"/>
          <w:sz w:val="20"/>
        </w:rPr>
        <w:t>(i)</w:t>
        <w:tab/>
        <w:t>within 30 days of the date of delivery such evidence as is satisfactory to the relevant authorities in the relevant EC member states to allow zero rating of the supply of the Products; and</w:t>
      </w:r>
    </w:p>
    <w:p>
      <w:pPr>
        <w:pStyle w:val="Normal"/>
        <w:jc w:val="both"/>
        <w:rPr>
          <w:rFonts w:ascii="Arial" w:hAnsi="Arial" w:cs="Arial"/>
          <w:sz w:val="20"/>
        </w:rPr>
      </w:pPr>
      <w:r>
        <w:rPr>
          <w:rFonts w:cs="Arial" w:ascii="Arial" w:hAnsi="Arial"/>
          <w:sz w:val="20"/>
        </w:rPr>
        <w:t>(ii)</w:t>
        <w:tab/>
        <w:t>before delivery of the Products to Buyer, a valid VAT registration number issued by the EC member state of the place of supply; and</w:t>
      </w:r>
    </w:p>
    <w:p>
      <w:pPr>
        <w:pStyle w:val="Normal"/>
        <w:jc w:val="both"/>
        <w:rPr>
          <w:rFonts w:ascii="Arial" w:hAnsi="Arial" w:cs="Arial"/>
          <w:sz w:val="20"/>
        </w:rPr>
      </w:pPr>
      <w:r>
        <w:rPr>
          <w:rFonts w:cs="Arial" w:ascii="Arial" w:hAnsi="Arial"/>
          <w:sz w:val="20"/>
        </w:rPr>
        <w:t>(iii)</w:t>
        <w:tab/>
        <w:t xml:space="preserve">evidence satisfactory to the EC member state of the place of supply in order to comply with such other conditions (if any) as may be specified in any relevant Laws and Regulations (as defined in Section 13.2) or as may be imposed by any relevant Government Authority (as defined in Section 6.6); or </w:t>
      </w:r>
    </w:p>
    <w:p>
      <w:pPr>
        <w:pStyle w:val="Normal"/>
        <w:jc w:val="both"/>
        <w:rPr>
          <w:rFonts w:ascii="Arial" w:hAnsi="Arial" w:cs="Arial"/>
          <w:sz w:val="20"/>
        </w:rPr>
      </w:pPr>
      <w:r>
        <w:rPr>
          <w:rFonts w:cs="Arial" w:ascii="Arial" w:hAnsi="Arial"/>
          <w:sz w:val="20"/>
        </w:rPr>
        <w:t>(b)</w:t>
        <w:tab/>
        <w:t>if the destination of the Products is outside the EC, Buyer provides to Seller, within 30 days of delivery of the Products, evidence satisfactory to the EC member state of the place of supply of receipt of the Products by Buyer, or some other party acting on its behalf, at a destination outside the EC.</w:t>
      </w:r>
    </w:p>
    <w:p>
      <w:pPr>
        <w:pStyle w:val="Normal"/>
        <w:jc w:val="both"/>
        <w:rPr>
          <w:rFonts w:ascii="Arial" w:hAnsi="Arial" w:cs="Arial"/>
          <w:sz w:val="20"/>
        </w:rPr>
      </w:pPr>
      <w:r>
        <w:rPr>
          <w:rFonts w:cs="Arial" w:ascii="Arial" w:hAnsi="Arial"/>
          <w:sz w:val="20"/>
        </w:rPr>
        <w:t>8.4</w:t>
        <w:tab/>
        <w:t>In circumstances where Section 8.3(a) or (b) applies, Seller will issue an invoice in respect of the Products which are zero rated for VAT. However, if Buyer fails to comply with the requirements set out in Section 8.3(a) or (b) within the time specified or in the event of any fraud or misrepresentation either in respect of the Products or the documents or information referred to in Section 8.3(a) or (b) or any other documentation or information required by the authority of the relevant EC member state, Seller shall be entitled to issue a further invoice for the amount of any VAT payable on the Products (inclusive of excise duty if appropriate) together with any default interest for which Seller is or becomes accountable in consequence of Buyer's non-compliance with Section 8.3(a) or (b). Any such invoice shall be paid in full within one (1) day of presentation or, if later, the date of payment for the Products, in each case without set-off, deduction or counterclaim, to Seller's bank account specified. Any outstanding amount shall bear interest in accordance with the provisions of Section 2.9.</w:t>
      </w:r>
    </w:p>
    <w:p>
      <w:pPr>
        <w:pStyle w:val="Normal"/>
        <w:jc w:val="both"/>
        <w:rPr>
          <w:rFonts w:ascii="Arial" w:hAnsi="Arial" w:cs="Arial"/>
          <w:sz w:val="20"/>
        </w:rPr>
      </w:pPr>
      <w:r>
        <w:rPr>
          <w:rFonts w:cs="Arial" w:ascii="Arial" w:hAnsi="Arial"/>
          <w:sz w:val="20"/>
        </w:rPr>
        <w:t>8.5</w:t>
        <w:tab/>
        <w:t>Buyer shall indemnify Seller in respect of any costs, penalties and interest incurred by Seller as a result of Buyer's failure to pay, or delay in paying, any VAT in accordance with this GTC.</w:t>
      </w:r>
    </w:p>
    <w:p>
      <w:pPr>
        <w:pStyle w:val="Normal"/>
        <w:jc w:val="both"/>
        <w:rPr>
          <w:rFonts w:ascii="Arial" w:hAnsi="Arial" w:cs="Arial"/>
          <w:sz w:val="20"/>
        </w:rPr>
      </w:pPr>
      <w:r>
        <w:rPr>
          <w:rFonts w:cs="Arial" w:ascii="Arial" w:hAnsi="Arial"/>
          <w:sz w:val="20"/>
        </w:rPr>
        <w:t>8.6</w:t>
        <w:tab/>
        <w:t>To the extent that VAT may be deferred or relieved under the provisions of any relevant tax authority relating to fiscal warehouses and Buyer provides such certificates or other documents or proofs as are necessary for Seller to establish such deferral or relief, then Buyer shall indemnify, and hold indemnified, Seller against all liability in respect of VAT incurred by Seller and reimbursements of amounts equivalent to such tax by Seller directly or indirectly to its supplier or the operator of the warehouse from which the Products were removed, including interest, penalties and costs in respect thereof.</w:t>
      </w:r>
    </w:p>
    <w:p>
      <w:pPr>
        <w:pStyle w:val="Normal"/>
        <w:jc w:val="both"/>
        <w:rPr>
          <w:rFonts w:ascii="Arial" w:hAnsi="Arial" w:cs="Arial"/>
          <w:sz w:val="20"/>
        </w:rPr>
      </w:pPr>
      <w:r>
        <w:rPr>
          <w:rFonts w:cs="Arial" w:ascii="Arial" w:hAnsi="Arial"/>
          <w:sz w:val="20"/>
        </w:rPr>
        <w:t>8.7</w:t>
        <w:tab/>
        <w:t>If Seller is subsequently able to obtain a credit or repayment from the authorities of any such VAT which has been paid by Buyer, Seller shall within five (5) banking days in New York reimburse Buyer with the net amount so credited or repaid less any costs, penalties and interest and Seller shall use all reasonable efforts, at the cost of Buyer, to obtain such credit or repayment.</w:t>
      </w:r>
    </w:p>
    <w:p>
      <w:pPr>
        <w:pStyle w:val="Normal"/>
        <w:jc w:val="both"/>
        <w:rPr>
          <w:rFonts w:ascii="Arial" w:hAnsi="Arial" w:cs="Arial"/>
          <w:b/>
          <w:sz w:val="20"/>
        </w:rPr>
      </w:pPr>
      <w:r>
        <w:rPr>
          <w:rFonts w:cs="Arial" w:ascii="Arial" w:hAnsi="Arial"/>
          <w:b/>
          <w:sz w:val="20"/>
        </w:rPr>
        <w:t>Excise Duty or Mineral Oil Tax</w:t>
      </w:r>
    </w:p>
    <w:p>
      <w:pPr>
        <w:pStyle w:val="Normal"/>
        <w:jc w:val="both"/>
        <w:rPr>
          <w:rFonts w:ascii="Arial" w:hAnsi="Arial" w:cs="Arial"/>
          <w:sz w:val="20"/>
        </w:rPr>
      </w:pPr>
      <w:r>
        <w:rPr>
          <w:rFonts w:cs="Arial" w:ascii="Arial" w:hAnsi="Arial"/>
          <w:sz w:val="20"/>
        </w:rPr>
        <w:t>8.8</w:t>
        <w:tab/>
        <w:t>Excise duty or mineral oil tax may be payable in respect of the Products on their leaving bonded premises unless:-</w:t>
      </w:r>
    </w:p>
    <w:p>
      <w:pPr>
        <w:pStyle w:val="Normal"/>
        <w:jc w:val="both"/>
        <w:rPr/>
      </w:pPr>
      <w:r>
        <w:rPr>
          <w:rFonts w:cs="Arial" w:ascii="Arial" w:hAnsi="Arial"/>
          <w:sz w:val="20"/>
        </w:rPr>
        <w:t>(a)</w:t>
        <w:tab/>
        <w:t>by the fifteenth (15th) day of the calendar month following the calendar month in which loading of the Products from bonded premises is completed with an Accompanying Administrative Document ("</w:t>
      </w:r>
      <w:r>
        <w:rPr>
          <w:rFonts w:cs="Arial" w:ascii="Arial" w:hAnsi="Arial"/>
          <w:b/>
          <w:sz w:val="20"/>
        </w:rPr>
        <w:t>AAD</w:t>
      </w:r>
      <w:r>
        <w:rPr>
          <w:rFonts w:cs="Arial" w:ascii="Arial" w:hAnsi="Arial"/>
          <w:sz w:val="20"/>
        </w:rPr>
        <w:t>"), a properly completed Copy 3 thereof, together with proof of discharge of the shipment, is returned to Seller; or</w:t>
      </w:r>
    </w:p>
    <w:p>
      <w:pPr>
        <w:pStyle w:val="Normal"/>
        <w:jc w:val="both"/>
        <w:rPr>
          <w:rFonts w:ascii="Arial" w:hAnsi="Arial" w:cs="Arial"/>
          <w:sz w:val="20"/>
        </w:rPr>
      </w:pPr>
      <w:r>
        <w:rPr>
          <w:rFonts w:cs="Arial" w:ascii="Arial" w:hAnsi="Arial"/>
          <w:sz w:val="20"/>
        </w:rPr>
        <w:t>(b)</w:t>
        <w:tab/>
        <w:t>Buyer has provided to Seller evidence satisfactory to the EC member state where the Products were taken out of bonded premises, that the Products were delivered to a destination which is not in an EC member state; or</w:t>
      </w:r>
    </w:p>
    <w:p>
      <w:pPr>
        <w:pStyle w:val="Normal"/>
        <w:jc w:val="both"/>
        <w:rPr>
          <w:rFonts w:ascii="Arial" w:hAnsi="Arial" w:cs="Arial"/>
          <w:sz w:val="20"/>
        </w:rPr>
      </w:pPr>
      <w:r>
        <w:rPr>
          <w:rFonts w:cs="Arial" w:ascii="Arial" w:hAnsi="Arial"/>
          <w:sz w:val="20"/>
        </w:rPr>
        <w:t>(c)</w:t>
        <w:tab/>
        <w:t>Buyer can provide evidence satisfactory to the EC member state where the Products were taken out of bonded premises without an AAD as a result of Buyer's nomination, that the Products were delivered into bonded premises within the EC in circumstances where such deliveries allow for suspension of mineral oil tax.</w:t>
      </w:r>
    </w:p>
    <w:p>
      <w:pPr>
        <w:pStyle w:val="Normal"/>
        <w:jc w:val="both"/>
        <w:rPr>
          <w:rFonts w:ascii="Arial" w:hAnsi="Arial" w:cs="Arial"/>
          <w:sz w:val="20"/>
        </w:rPr>
      </w:pPr>
      <w:r>
        <w:rPr>
          <w:rFonts w:cs="Arial" w:ascii="Arial" w:hAnsi="Arial"/>
          <w:sz w:val="20"/>
        </w:rPr>
        <w:t>8.9</w:t>
        <w:tab/>
        <w:t>If none of the exceptions set out in Section 8.8 is complied with, or in the event of any fraud or misrepresentation in respect of either the Products or the documents referred to in Section 8.8 above or any other documents required by any authority of the relevant EC member state, Buyer shall indemnify, and hold indemnified, Seller against all liability in respect of excise duty or mineral oil tax incurred by Seller and/or reimbursements of amounts equivalent to such duty or tax by Seller directly or indirectly to its supplier or the owner of the bonded premises from which the Products were despatched, including any interest, penalties and costs in respect thereof. In addition, notwithstanding compliance with any of the exceptions set out in Section 8.8, Buyer shall remain liable under the above indemnity for any excise duty or mineral oil tax claimed by any relevant EC member state in respect of discrepancies between the loaded and discharged quantities.</w:t>
      </w:r>
    </w:p>
    <w:p>
      <w:pPr>
        <w:pStyle w:val="Normal"/>
        <w:jc w:val="both"/>
        <w:rPr>
          <w:rFonts w:ascii="Arial" w:hAnsi="Arial" w:cs="Arial"/>
          <w:b/>
          <w:sz w:val="20"/>
        </w:rPr>
      </w:pPr>
      <w:r>
        <w:rPr>
          <w:rFonts w:cs="Arial" w:ascii="Arial" w:hAnsi="Arial"/>
          <w:b/>
          <w:sz w:val="20"/>
        </w:rPr>
        <w:t>Definitions</w:t>
      </w:r>
    </w:p>
    <w:p>
      <w:pPr>
        <w:pStyle w:val="Normal"/>
        <w:jc w:val="both"/>
        <w:rPr>
          <w:rFonts w:ascii="Arial" w:hAnsi="Arial" w:cs="Arial"/>
          <w:sz w:val="20"/>
        </w:rPr>
      </w:pPr>
      <w:r>
        <w:rPr>
          <w:rFonts w:cs="Arial" w:ascii="Arial" w:hAnsi="Arial"/>
          <w:sz w:val="20"/>
        </w:rPr>
        <w:t>8.10</w:t>
        <w:tab/>
        <w:t>In this Section 8:</w:t>
      </w:r>
    </w:p>
    <w:p>
      <w:pPr>
        <w:pStyle w:val="Normal"/>
        <w:jc w:val="both"/>
        <w:rPr/>
      </w:pPr>
      <w:r>
        <w:rPr>
          <w:rFonts w:cs="Arial" w:ascii="Arial" w:hAnsi="Arial"/>
          <w:sz w:val="20"/>
        </w:rPr>
        <w:t>(a)</w:t>
        <w:tab/>
        <w:t>"</w:t>
      </w:r>
      <w:r>
        <w:rPr>
          <w:rFonts w:cs="Arial" w:ascii="Arial" w:hAnsi="Arial"/>
          <w:b/>
          <w:sz w:val="20"/>
        </w:rPr>
        <w:t>bonded warehouse</w:t>
      </w:r>
      <w:r>
        <w:rPr>
          <w:rFonts w:cs="Arial" w:ascii="Arial" w:hAnsi="Arial"/>
          <w:sz w:val="20"/>
        </w:rPr>
        <w:t>" means a place of security approved by the relevant tax authority for customs or excise duty of an EC member state;</w:t>
      </w:r>
    </w:p>
    <w:p>
      <w:pPr>
        <w:pStyle w:val="Normal"/>
        <w:jc w:val="both"/>
        <w:rPr/>
      </w:pPr>
      <w:r>
        <w:rPr>
          <w:rFonts w:cs="Arial" w:ascii="Arial" w:hAnsi="Arial"/>
          <w:sz w:val="20"/>
        </w:rPr>
        <w:t>(b)</w:t>
        <w:tab/>
        <w:t>"</w:t>
      </w:r>
      <w:r>
        <w:rPr>
          <w:rFonts w:cs="Arial" w:ascii="Arial" w:hAnsi="Arial"/>
          <w:b/>
          <w:sz w:val="20"/>
        </w:rPr>
        <w:t>duty</w:t>
      </w:r>
      <w:r>
        <w:rPr>
          <w:rFonts w:cs="Arial" w:ascii="Arial" w:hAnsi="Arial"/>
          <w:sz w:val="20"/>
        </w:rPr>
        <w:t>" means any duty of customs or excise and "</w:t>
      </w:r>
      <w:r>
        <w:rPr>
          <w:rFonts w:cs="Arial" w:ascii="Arial" w:hAnsi="Arial"/>
          <w:b/>
          <w:sz w:val="20"/>
        </w:rPr>
        <w:t>excise duty</w:t>
      </w:r>
      <w:r>
        <w:rPr>
          <w:rFonts w:cs="Arial" w:ascii="Arial" w:hAnsi="Arial"/>
          <w:sz w:val="20"/>
        </w:rPr>
        <w:t>" shall be construed accordingly;</w:t>
      </w:r>
    </w:p>
    <w:p>
      <w:pPr>
        <w:pStyle w:val="Normal"/>
        <w:jc w:val="both"/>
        <w:rPr/>
      </w:pPr>
      <w:r>
        <w:rPr>
          <w:rFonts w:cs="Arial" w:ascii="Arial" w:hAnsi="Arial"/>
          <w:sz w:val="20"/>
        </w:rPr>
        <w:t>(c)</w:t>
        <w:tab/>
        <w:t>"</w:t>
      </w:r>
      <w:r>
        <w:rPr>
          <w:rFonts w:cs="Arial" w:ascii="Arial" w:hAnsi="Arial"/>
          <w:b/>
          <w:sz w:val="20"/>
        </w:rPr>
        <w:t>fiscal warehouse</w:t>
      </w:r>
      <w:r>
        <w:rPr>
          <w:rFonts w:cs="Arial" w:ascii="Arial" w:hAnsi="Arial"/>
          <w:sz w:val="20"/>
        </w:rPr>
        <w:t>" means a place authorised by a customs authority of an EC member state for storage of goods under duty suspension; and</w:t>
      </w:r>
    </w:p>
    <w:p>
      <w:pPr>
        <w:pStyle w:val="Normal"/>
        <w:jc w:val="both"/>
        <w:rPr/>
      </w:pPr>
      <w:r>
        <w:rPr>
          <w:rFonts w:cs="Arial" w:ascii="Arial" w:hAnsi="Arial"/>
          <w:sz w:val="20"/>
        </w:rPr>
        <w:t>(d)</w:t>
        <w:tab/>
        <w:t>"</w:t>
      </w:r>
      <w:r>
        <w:rPr>
          <w:rFonts w:cs="Arial" w:ascii="Arial" w:hAnsi="Arial"/>
          <w:b/>
          <w:sz w:val="20"/>
        </w:rPr>
        <w:t>mineral oil tax</w:t>
      </w:r>
      <w:r>
        <w:rPr>
          <w:rFonts w:cs="Arial" w:ascii="Arial" w:hAnsi="Arial"/>
          <w:sz w:val="20"/>
        </w:rPr>
        <w:t>" means duty on hydrocarbon oils.</w:t>
      </w:r>
    </w:p>
    <w:p>
      <w:pPr>
        <w:pStyle w:val="Normal"/>
        <w:jc w:val="both"/>
        <w:rPr>
          <w:rFonts w:ascii="Arial" w:hAnsi="Arial" w:cs="Arial"/>
          <w:b/>
          <w:sz w:val="20"/>
        </w:rPr>
      </w:pPr>
      <w:r>
        <w:rPr>
          <w:rFonts w:cs="Arial" w:ascii="Arial" w:hAnsi="Arial"/>
          <w:b/>
          <w:sz w:val="20"/>
        </w:rPr>
        <w:t>General</w:t>
      </w:r>
    </w:p>
    <w:p>
      <w:pPr>
        <w:pStyle w:val="Normal"/>
        <w:jc w:val="both"/>
        <w:rPr>
          <w:rFonts w:ascii="Arial" w:hAnsi="Arial" w:cs="Arial"/>
          <w:sz w:val="20"/>
        </w:rPr>
      </w:pPr>
      <w:r>
        <w:rPr>
          <w:rFonts w:cs="Arial" w:ascii="Arial" w:hAnsi="Arial"/>
          <w:sz w:val="20"/>
        </w:rPr>
        <w:t>8.11</w:t>
        <w:tab/>
        <w:t>Prior to the date of delivery, or the date any payment becomes due, whichever is earlier, Buyer shall provide Seller with all current exemption, resale or notification certificates or direct pay permits required or permitted by applicable law regarding the imposition or payment of any such taxes and other items as are referred to in Section 8.12.</w:t>
      </w:r>
    </w:p>
    <w:p>
      <w:pPr>
        <w:pStyle w:val="Normal"/>
        <w:jc w:val="both"/>
        <w:rPr>
          <w:rFonts w:ascii="Arial" w:hAnsi="Arial" w:cs="Arial"/>
          <w:sz w:val="20"/>
        </w:rPr>
      </w:pPr>
      <w:r>
        <w:rPr>
          <w:rFonts w:cs="Arial" w:ascii="Arial" w:hAnsi="Arial"/>
          <w:sz w:val="20"/>
        </w:rPr>
        <w:t>8.12</w:t>
        <w:tab/>
        <w:t>If no current exemption, resale or notification certificate or direct payment permit is furnished as provided above, Buyer shall be responsible for and shall pay to Seller the amount of any UK, EC, US or other foreign, national, federal, state, provincial or local taxes, duties, imposts, fees, charges and dues of every description, however designated, imposed or levied by any port or Governmental Authority (as defined in Section 6.6) and paid or incurred by Seller directly or indirectly with respect to the purchase, storage, exchange, use, transportation, resale, importation or handling of the Products agreed to be sold to Buyer, except for taxes on income. If Seller is required by applicable law to pay any of the foregoing which are the responsibility of Buyer, Buyer shall reimburse Seller promptly for all such payments.</w:t>
      </w:r>
    </w:p>
    <w:p>
      <w:pPr>
        <w:pStyle w:val="Normal"/>
        <w:jc w:val="both"/>
        <w:rPr>
          <w:rFonts w:ascii="Arial" w:hAnsi="Arial" w:cs="Arial"/>
          <w:sz w:val="20"/>
        </w:rPr>
      </w:pPr>
      <w:r>
        <w:rPr>
          <w:rFonts w:cs="Arial" w:ascii="Arial" w:hAnsi="Arial"/>
          <w:sz w:val="20"/>
        </w:rPr>
        <w:t>8.13</w:t>
        <w:tab/>
        <w:t>If any personal property taxes are assessed by any Governmental Authority against any Products sold under a Transaction, such assessment shall be the responsibility of and shall be paid by the Party having the property in such Products at the time as at which the assessment was made.</w:t>
      </w:r>
    </w:p>
    <w:p>
      <w:pPr>
        <w:pStyle w:val="Normal"/>
        <w:jc w:val="both"/>
        <w:rPr>
          <w:rFonts w:ascii="Arial" w:hAnsi="Arial" w:cs="Arial"/>
          <w:b/>
          <w:sz w:val="20"/>
        </w:rPr>
      </w:pPr>
      <w:r>
        <w:rPr>
          <w:rFonts w:cs="Arial" w:ascii="Arial" w:hAnsi="Arial"/>
          <w:b/>
          <w:sz w:val="20"/>
        </w:rPr>
        <w:t>9.</w:t>
        <w:tab/>
        <w:t>No Waiver</w:t>
      </w:r>
    </w:p>
    <w:p>
      <w:pPr>
        <w:pStyle w:val="Normal"/>
        <w:jc w:val="both"/>
        <w:rPr>
          <w:rFonts w:ascii="Arial" w:hAnsi="Arial" w:cs="Arial"/>
          <w:sz w:val="20"/>
        </w:rPr>
      </w:pPr>
      <w:r>
        <w:rPr>
          <w:rFonts w:cs="Arial" w:ascii="Arial" w:hAnsi="Arial"/>
          <w:sz w:val="20"/>
        </w:rPr>
        <w:t>Waiver of performance of any obligation by either Buyer or Seller shall not be deemed a waiver of performance of other obligations or a future waiver of the same obligation. No waiver by either Party of any Default or other breach of any of the covenants or conditions of a Transaction shall be construed as a waiver of any succeeding Default or breach of the same or any other covenants or conditions under such Transaction.</w:t>
      </w:r>
    </w:p>
    <w:p>
      <w:pPr>
        <w:pStyle w:val="Normal"/>
        <w:jc w:val="both"/>
        <w:rPr>
          <w:rFonts w:ascii="Arial" w:hAnsi="Arial" w:cs="Arial"/>
          <w:b/>
          <w:sz w:val="20"/>
        </w:rPr>
      </w:pPr>
      <w:r>
        <w:rPr>
          <w:rFonts w:cs="Arial" w:ascii="Arial" w:hAnsi="Arial"/>
          <w:b/>
          <w:sz w:val="20"/>
        </w:rPr>
        <w:t>10.</w:t>
        <w:tab/>
        <w:t>Limited Warranties and Exclusions</w:t>
      </w:r>
    </w:p>
    <w:p>
      <w:pPr>
        <w:pStyle w:val="Normal"/>
        <w:jc w:val="both"/>
        <w:rPr>
          <w:rFonts w:ascii="Arial" w:hAnsi="Arial" w:cs="Arial"/>
          <w:sz w:val="20"/>
        </w:rPr>
      </w:pPr>
      <w:r>
        <w:rPr>
          <w:rFonts w:cs="Arial" w:ascii="Arial" w:hAnsi="Arial"/>
          <w:sz w:val="20"/>
        </w:rPr>
        <w:t>10.1</w:t>
        <w:tab/>
        <w:t xml:space="preserve">Seller warrants that, when the property in the Products is due to pass to Buyer, Seller will have the right to sell the Products and that they will be free from any charge or encumbrance not disclosed or known to Buyer before a Transaction was made. To the maximum extent permitted by law and subject to Section 7.3: </w:t>
      </w:r>
    </w:p>
    <w:p>
      <w:pPr>
        <w:pStyle w:val="Normal"/>
        <w:jc w:val="both"/>
        <w:rPr>
          <w:rFonts w:ascii="Arial" w:hAnsi="Arial" w:cs="Arial"/>
          <w:sz w:val="20"/>
        </w:rPr>
      </w:pPr>
      <w:r>
        <w:rPr>
          <w:rFonts w:cs="Arial" w:ascii="Arial" w:hAnsi="Arial"/>
          <w:sz w:val="20"/>
        </w:rPr>
        <w:t>(a)</w:t>
        <w:tab/>
        <w:t>This warranty is in lieu of and supersedes, excludes and extinguishes the terms which would otherwise be implied by Section 12 of the Sale of Goods Act 1979.</w:t>
      </w:r>
    </w:p>
    <w:p>
      <w:pPr>
        <w:pStyle w:val="Normal"/>
        <w:jc w:val="both"/>
        <w:rPr>
          <w:rFonts w:ascii="Arial" w:hAnsi="Arial" w:cs="Arial"/>
          <w:sz w:val="20"/>
        </w:rPr>
      </w:pPr>
      <w:r>
        <w:rPr>
          <w:rFonts w:cs="Arial" w:ascii="Arial" w:hAnsi="Arial"/>
          <w:sz w:val="20"/>
        </w:rPr>
        <w:t>(b)</w:t>
        <w:tab/>
        <w:t>Seller does not warrant that the Products or their use or sale or other disposal will not infringe any patent, trade mark, copyright or other intellectual property rights of any third party and so far as concerns the subject matter of this sub-clause (b), Seller shall be deemed to transfer only such title as Seller may have. Nothing in this GTC confers on Buyer any licence of intellectual property rights in relation to the Products or their use, sale or other disposal.</w:t>
      </w:r>
    </w:p>
    <w:p>
      <w:pPr>
        <w:pStyle w:val="Normal"/>
        <w:jc w:val="both"/>
        <w:rPr>
          <w:rFonts w:ascii="Arial" w:hAnsi="Arial" w:cs="Arial"/>
          <w:sz w:val="20"/>
        </w:rPr>
      </w:pPr>
      <w:r>
        <w:rPr>
          <w:rFonts w:cs="Arial" w:ascii="Arial" w:hAnsi="Arial"/>
          <w:sz w:val="20"/>
        </w:rPr>
        <w:t>10.2</w:t>
        <w:tab/>
        <w:t>Seller warrants that, when the property in the Products is due to pass to Buyer, they will conform to the specifications set out on the website. To the maximum extent permitted by law and subject to Section 7.3,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Products' description, correspondence with model or sample, satisfactory or other quality or fitness for any purpose (whether or not made known to Seller) for which they are required or goods of the same kind are commonly supplied, or their appearance, finish, safety, durability or freedom from defects or their performance, state, condition, or other characteristics without limitation, whether at the time when the property therein is due to pass or at any other time. Buyer waives any rights and remedies which it may nevertheless have and Seller's liability is limited accordingly.</w:t>
      </w:r>
    </w:p>
    <w:p>
      <w:pPr>
        <w:pStyle w:val="Normal"/>
        <w:jc w:val="both"/>
        <w:rPr>
          <w:rFonts w:ascii="Arial" w:hAnsi="Arial" w:cs="Arial"/>
          <w:sz w:val="20"/>
        </w:rPr>
      </w:pPr>
      <w:r>
        <w:rPr>
          <w:rFonts w:cs="Arial" w:ascii="Arial" w:hAnsi="Arial"/>
          <w:sz w:val="20"/>
        </w:rPr>
        <w:t>10.3</w:t>
        <w:tab/>
        <w:t>Subject only to Section 7.3, in entering into a Transaction, neither Party may rely on any:</w:t>
      </w:r>
    </w:p>
    <w:p>
      <w:pPr>
        <w:pStyle w:val="Normal"/>
        <w:jc w:val="both"/>
        <w:rPr>
          <w:rFonts w:ascii="Arial" w:hAnsi="Arial" w:cs="Arial"/>
          <w:sz w:val="20"/>
        </w:rPr>
      </w:pPr>
      <w:r>
        <w:rPr>
          <w:rFonts w:cs="Arial" w:ascii="Arial" w:hAnsi="Arial"/>
          <w:sz w:val="20"/>
        </w:rPr>
        <w:t>(a)</w:t>
        <w:tab/>
        <w:t>representation; or</w:t>
      </w:r>
    </w:p>
    <w:p>
      <w:pPr>
        <w:pStyle w:val="Normal"/>
        <w:jc w:val="both"/>
        <w:rPr>
          <w:rFonts w:ascii="Arial" w:hAnsi="Arial" w:cs="Arial"/>
          <w:sz w:val="20"/>
        </w:rPr>
      </w:pPr>
      <w:r>
        <w:rPr>
          <w:rFonts w:cs="Arial" w:ascii="Arial" w:hAnsi="Arial"/>
          <w:sz w:val="20"/>
        </w:rPr>
        <w:t>(b)</w:t>
        <w:tab/>
        <w:t>warranty; or</w:t>
      </w:r>
    </w:p>
    <w:p>
      <w:pPr>
        <w:pStyle w:val="Normal"/>
        <w:jc w:val="both"/>
        <w:rPr>
          <w:rFonts w:ascii="Arial" w:hAnsi="Arial" w:cs="Arial"/>
          <w:sz w:val="20"/>
        </w:rPr>
      </w:pPr>
      <w:r>
        <w:rPr>
          <w:rFonts w:cs="Arial" w:ascii="Arial" w:hAnsi="Arial"/>
          <w:sz w:val="20"/>
        </w:rPr>
        <w:t>(c)</w:t>
        <w:tab/>
        <w:t>collateral contract; or</w:t>
      </w:r>
    </w:p>
    <w:p>
      <w:pPr>
        <w:pStyle w:val="Normal"/>
        <w:jc w:val="both"/>
        <w:rPr>
          <w:rFonts w:ascii="Arial" w:hAnsi="Arial" w:cs="Arial"/>
          <w:sz w:val="20"/>
        </w:rPr>
      </w:pPr>
      <w:r>
        <w:rPr>
          <w:rFonts w:cs="Arial" w:ascii="Arial" w:hAnsi="Arial"/>
          <w:sz w:val="20"/>
        </w:rPr>
        <w:t>(d)</w:t>
        <w:tab/>
        <w:t>other assurance</w:t>
      </w:r>
    </w:p>
    <w:p>
      <w:pPr>
        <w:pStyle w:val="Normal"/>
        <w:jc w:val="both"/>
        <w:rPr>
          <w:rFonts w:ascii="Arial" w:hAnsi="Arial" w:cs="Arial"/>
          <w:sz w:val="20"/>
        </w:rPr>
      </w:pPr>
      <w:r>
        <w:rPr>
          <w:rFonts w:cs="Arial" w:ascii="Arial" w:hAnsi="Arial"/>
          <w:sz w:val="20"/>
        </w:rPr>
        <w:t>whether written, oral, by conduct or otherwise, made by or on behalf of the other Party or any of its Affiliates (as defined in Section 17.10) before a Transaction was entered into (except those set out in a Transaction) and each Party waives all rights and remedies which, but for this Section 10.3, might otherwise be available to it in respect thereof.</w:t>
      </w:r>
    </w:p>
    <w:p>
      <w:pPr>
        <w:pStyle w:val="Normal"/>
        <w:jc w:val="both"/>
        <w:rPr>
          <w:rFonts w:ascii="Arial" w:hAnsi="Arial" w:cs="Arial"/>
          <w:sz w:val="20"/>
        </w:rPr>
      </w:pPr>
      <w:r>
        <w:rPr>
          <w:rFonts w:cs="Arial" w:ascii="Arial" w:hAnsi="Arial"/>
          <w:sz w:val="20"/>
        </w:rPr>
        <w:t>10.4</w:t>
        <w:tab/>
        <w:t>Buyer acknowledges that the terms of a Transaction (including without limitations those of Section 7 and this Section 10) are fair and reasonable in view of Buyer's expertise and assessment and ability to arrange for the testing of the Products and its reliance on its own rather than Seller's skill and judgement and is reflected in the price. Buyer shall insure and/or accept risk accordingly.</w:t>
      </w:r>
    </w:p>
    <w:p>
      <w:pPr>
        <w:pStyle w:val="Normal"/>
        <w:jc w:val="both"/>
        <w:rPr>
          <w:rFonts w:ascii="Arial" w:hAnsi="Arial" w:cs="Arial"/>
          <w:sz w:val="20"/>
        </w:rPr>
      </w:pPr>
      <w:r>
        <w:rPr>
          <w:rFonts w:cs="Arial" w:ascii="Arial" w:hAnsi="Arial"/>
          <w:sz w:val="20"/>
        </w:rPr>
        <w:t>10.5</w:t>
        <w:tab/>
        <w:t>Nothing in this GTC shall have the effect of limiting or restricting either Party's liability arising as a result of its fraud.</w:t>
      </w:r>
    </w:p>
    <w:p>
      <w:pPr>
        <w:pStyle w:val="Normal"/>
        <w:jc w:val="both"/>
        <w:rPr>
          <w:rFonts w:ascii="Arial" w:hAnsi="Arial" w:cs="Arial"/>
          <w:b/>
          <w:sz w:val="20"/>
        </w:rPr>
      </w:pPr>
      <w:r>
        <w:rPr>
          <w:rFonts w:cs="Arial" w:ascii="Arial" w:hAnsi="Arial"/>
          <w:b/>
          <w:sz w:val="20"/>
        </w:rPr>
        <w:t>11.</w:t>
        <w:tab/>
        <w:t>Representation</w:t>
      </w:r>
    </w:p>
    <w:p>
      <w:pPr>
        <w:pStyle w:val="Normal"/>
        <w:jc w:val="both"/>
        <w:rPr>
          <w:rFonts w:ascii="Arial" w:hAnsi="Arial" w:cs="Arial"/>
          <w:sz w:val="20"/>
        </w:rPr>
      </w:pPr>
      <w:r>
        <w:rPr>
          <w:rFonts w:cs="Arial" w:ascii="Arial" w:hAnsi="Arial"/>
          <w:sz w:val="20"/>
        </w:rPr>
        <w:t xml:space="preserve">Each Party represents to the other that (a) it has the capacity and is duly authorised and has obtained all consents, permits and licences required by applicable Laws and Regulations (as defined in Section 13.2) to enter into a Transaction and to deal with the Products;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Products or the property in them in accordance with the provisions of a Transaction. </w:t>
      </w:r>
    </w:p>
    <w:p>
      <w:pPr>
        <w:pStyle w:val="Normal"/>
        <w:jc w:val="both"/>
        <w:rPr>
          <w:rFonts w:ascii="Arial" w:hAnsi="Arial" w:cs="Arial"/>
          <w:b/>
          <w:sz w:val="20"/>
        </w:rPr>
      </w:pPr>
      <w:r>
        <w:rPr>
          <w:rFonts w:cs="Arial" w:ascii="Arial" w:hAnsi="Arial"/>
          <w:b/>
          <w:sz w:val="20"/>
        </w:rPr>
        <w:t>12.</w:t>
        <w:tab/>
        <w:t>Governing Law and Arbitration</w:t>
      </w:r>
    </w:p>
    <w:p>
      <w:pPr>
        <w:pStyle w:val="Normal"/>
        <w:jc w:val="both"/>
        <w:rPr>
          <w:rFonts w:ascii="Arial" w:hAnsi="Arial" w:cs="Arial"/>
          <w:sz w:val="20"/>
        </w:rPr>
      </w:pPr>
      <w:r>
        <w:rPr>
          <w:rFonts w:cs="Arial" w:ascii="Arial" w:hAnsi="Arial"/>
          <w:sz w:val="20"/>
        </w:rPr>
        <w:t>12.1</w:t>
        <w:tab/>
        <w:t>Unless otherwise expressly stated, each Transaction and this GTC shall be governed by and construed, enforced and performed in accordance with English law (without reference to its choice of law rules which may direct the application of the laws of any other jurisdiction) and to the exclusion of the laws of any other legal system. The Parties agree that each Transaction shall be deemed to have been made in England. The Parties agree that neither the Uniform Laws on International Sales 1964 nor the United Nations Convention on Contracts for the International Sales of Goods (1980) shall apply to, or govern, any Transaction.</w:t>
      </w:r>
    </w:p>
    <w:p>
      <w:pPr>
        <w:pStyle w:val="Normal"/>
        <w:jc w:val="both"/>
        <w:rPr>
          <w:rFonts w:ascii="Arial" w:hAnsi="Arial" w:cs="Arial"/>
          <w:sz w:val="20"/>
        </w:rPr>
      </w:pPr>
      <w:r>
        <w:rPr>
          <w:rFonts w:cs="Arial" w:ascii="Arial" w:hAnsi="Arial"/>
          <w:sz w:val="20"/>
        </w:rPr>
        <w:t>12.2</w:t>
        <w:tab/>
        <w:t>The Parties agree that all disputes arising out of or in connection with a Transaction (including without limitation any question regarding its existence, validity or termination) shall be referred to and finally resolved by arbitration, before a single arbitrator, conducted in the English language in London, England under the rules of arbitration of the London Court of International Arbitration, which rules are deemed to be incorporated by reference into this GTC.</w:t>
      </w:r>
    </w:p>
    <w:p>
      <w:pPr>
        <w:pStyle w:val="Normal"/>
        <w:jc w:val="both"/>
        <w:rPr>
          <w:rFonts w:ascii="Arial" w:hAnsi="Arial" w:cs="Arial"/>
          <w:b/>
          <w:sz w:val="20"/>
        </w:rPr>
      </w:pPr>
      <w:r>
        <w:rPr>
          <w:rFonts w:cs="Arial" w:ascii="Arial" w:hAnsi="Arial"/>
          <w:b/>
          <w:sz w:val="20"/>
        </w:rPr>
        <w:t>13.</w:t>
        <w:tab/>
        <w:t>New or Changed Laws and Regulations</w:t>
      </w:r>
    </w:p>
    <w:p>
      <w:pPr>
        <w:pStyle w:val="Normal"/>
        <w:jc w:val="both"/>
        <w:rPr>
          <w:rFonts w:ascii="Arial" w:hAnsi="Arial" w:cs="Arial"/>
          <w:sz w:val="20"/>
        </w:rPr>
      </w:pPr>
      <w:r>
        <w:rPr>
          <w:rFonts w:cs="Arial" w:ascii="Arial" w:hAnsi="Arial"/>
          <w:sz w:val="20"/>
        </w:rPr>
        <w:t>13.1</w:t>
        <w:tab/>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w:t>
      </w:r>
    </w:p>
    <w:p>
      <w:pPr>
        <w:pStyle w:val="Normal"/>
        <w:jc w:val="both"/>
        <w:rPr/>
      </w:pPr>
      <w:r>
        <w:rPr>
          <w:rFonts w:cs="Arial" w:ascii="Arial" w:hAnsi="Arial"/>
          <w:sz w:val="20"/>
        </w:rPr>
        <w:t>13.2</w:t>
        <w:tab/>
        <w:t>For the purpose of a Transaction, the term "</w:t>
      </w:r>
      <w:r>
        <w:rPr>
          <w:rFonts w:cs="Arial" w:ascii="Arial" w:hAnsi="Arial"/>
          <w:b/>
          <w:sz w:val="20"/>
        </w:rPr>
        <w:t>Laws and Regulations</w:t>
      </w:r>
      <w:r>
        <w:rPr>
          <w:rFonts w:cs="Arial" w:ascii="Arial" w:hAnsi="Arial"/>
          <w:sz w:val="20"/>
        </w:rPr>
        <w:t>" shall mean the applicable treaties, statutes, rules, regulations, decrees, ordinances, licences, permits, compliance requirements, decisions, orders, directives, and agreements of, and/or concessions and arrangements with any, Governmental Authority (as defined in Section 6.6).</w:t>
      </w:r>
    </w:p>
    <w:p>
      <w:pPr>
        <w:pStyle w:val="Normal"/>
        <w:jc w:val="both"/>
        <w:rPr>
          <w:rFonts w:ascii="Arial" w:hAnsi="Arial" w:cs="Arial"/>
          <w:b/>
          <w:sz w:val="20"/>
        </w:rPr>
      </w:pPr>
      <w:r>
        <w:rPr>
          <w:rFonts w:cs="Arial" w:ascii="Arial" w:hAnsi="Arial"/>
          <w:b/>
          <w:sz w:val="20"/>
        </w:rPr>
        <w:t>14.</w:t>
        <w:tab/>
        <w:t>Waiver of Immunity</w:t>
      </w:r>
    </w:p>
    <w:p>
      <w:pPr>
        <w:pStyle w:val="Normal"/>
        <w:jc w:val="both"/>
        <w:rPr>
          <w:rFonts w:ascii="Arial" w:hAnsi="Arial" w:cs="Arial"/>
          <w:sz w:val="20"/>
        </w:rPr>
      </w:pPr>
      <w:r>
        <w:rPr>
          <w:rFonts w:cs="Arial" w:ascii="Arial" w:hAnsi="Arial"/>
          <w:sz w:val="20"/>
        </w:rPr>
        <w:t>Each Party warrants that it is entering into a Transaction in a commercial capacity and that with respect to a Transaction it is in all respects subject to civil and commercial law. Each Party hereby irrevocably and unconditionally and to the fullest extent permitted by law:</w:t>
      </w:r>
    </w:p>
    <w:p>
      <w:pPr>
        <w:pStyle w:val="Normal"/>
        <w:jc w:val="both"/>
        <w:rPr>
          <w:rFonts w:ascii="Arial" w:hAnsi="Arial" w:cs="Arial"/>
          <w:sz w:val="20"/>
        </w:rPr>
      </w:pPr>
      <w:r>
        <w:rPr>
          <w:rFonts w:cs="Arial" w:ascii="Arial" w:hAnsi="Arial"/>
          <w:sz w:val="20"/>
        </w:rPr>
        <w:t>(a)</w:t>
        <w:tab/>
        <w:t>agrees that, should the other Party bring legal, arbitration or other proceedings against it or its assets arising out of or in connection with a Transaction, no immunity from such proceedings (which shall be deemed to include without limitation, suit, attachment prior to judgement, other attachment, the obtaining of judgement, execution and other enforcement) shall be claimed by or on behalf of itself or with respect to its assets;</w:t>
      </w:r>
    </w:p>
    <w:p>
      <w:pPr>
        <w:pStyle w:val="Normal"/>
        <w:jc w:val="both"/>
        <w:rPr>
          <w:rFonts w:ascii="Arial" w:hAnsi="Arial" w:cs="Arial"/>
          <w:sz w:val="20"/>
        </w:rPr>
      </w:pPr>
      <w:r>
        <w:rPr>
          <w:rFonts w:cs="Arial" w:ascii="Arial" w:hAnsi="Arial"/>
          <w:sz w:val="20"/>
        </w:rPr>
        <w:t>(b)</w:t>
        <w:tab/>
        <w:t>waives any such right of sovereign or other immunity which it or its assets wherever located now has or may hereafter acquire; and</w:t>
      </w:r>
    </w:p>
    <w:p>
      <w:pPr>
        <w:pStyle w:val="Normal"/>
        <w:jc w:val="both"/>
        <w:rPr>
          <w:rFonts w:ascii="Arial" w:hAnsi="Arial" w:cs="Arial"/>
          <w:sz w:val="20"/>
        </w:rPr>
      </w:pPr>
      <w:r>
        <w:rPr>
          <w:rFonts w:cs="Arial" w:ascii="Arial" w:hAnsi="Arial"/>
          <w:sz w:val="20"/>
        </w:rPr>
        <w:t>(c)</w:t>
        <w:tab/>
        <w:t>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judgement or award which may be made or given in such proceedings irrespective of the jurisdiction in which such proceedings are brought or any such order, judgement or award may be made, enforced or executed.</w:t>
      </w:r>
    </w:p>
    <w:p>
      <w:pPr>
        <w:pStyle w:val="Normal"/>
        <w:jc w:val="both"/>
        <w:rPr>
          <w:rFonts w:ascii="Arial" w:hAnsi="Arial" w:cs="Arial"/>
          <w:b/>
          <w:sz w:val="20"/>
        </w:rPr>
      </w:pPr>
      <w:r>
        <w:rPr>
          <w:rFonts w:cs="Arial" w:ascii="Arial" w:hAnsi="Arial"/>
          <w:b/>
          <w:sz w:val="20"/>
        </w:rPr>
        <w:t>15.</w:t>
        <w:tab/>
        <w:t>Inconsistency of Terms</w:t>
      </w:r>
    </w:p>
    <w:p>
      <w:pPr>
        <w:pStyle w:val="Normal"/>
        <w:jc w:val="both"/>
        <w:rPr>
          <w:rFonts w:ascii="Arial" w:hAnsi="Arial" w:cs="Arial"/>
          <w:sz w:val="20"/>
        </w:rPr>
      </w:pPr>
      <w:r>
        <w:rPr>
          <w:rFonts w:cs="Arial" w:ascii="Arial" w:hAnsi="Arial"/>
          <w:sz w:val="20"/>
        </w:rPr>
        <w:t>Any situations not specifically addressed by this GTC will be governed by Incoterms 1990 (to the extent applicable) as in effect at the time a Transaction is entered into, but in the event of any inconsistency between Incoterms 1990 (to the extent applicable) and the rest of this GTC, the rest of this GTC shall prevail to the extent of such inconsistency and as to the specific delivery of Products that it covers.</w:t>
      </w:r>
    </w:p>
    <w:p>
      <w:pPr>
        <w:pStyle w:val="Normal"/>
        <w:jc w:val="both"/>
        <w:rPr>
          <w:rFonts w:ascii="Arial" w:hAnsi="Arial" w:cs="Arial"/>
          <w:b/>
          <w:sz w:val="20"/>
        </w:rPr>
      </w:pPr>
      <w:r>
        <w:rPr>
          <w:rFonts w:cs="Arial" w:ascii="Arial" w:hAnsi="Arial"/>
          <w:b/>
          <w:sz w:val="20"/>
        </w:rPr>
        <w:t>16.</w:t>
        <w:tab/>
        <w:t>Notices</w:t>
      </w:r>
    </w:p>
    <w:p>
      <w:pPr>
        <w:pStyle w:val="Normal"/>
        <w:jc w:val="both"/>
        <w:rPr>
          <w:rFonts w:ascii="Arial" w:hAnsi="Arial" w:cs="Arial"/>
          <w:sz w:val="20"/>
        </w:rPr>
      </w:pPr>
      <w:r>
        <w:rPr>
          <w:rFonts w:cs="Arial" w:ascii="Arial" w:hAnsi="Arial"/>
          <w:sz w:val="20"/>
        </w:rPr>
        <w:t>Any notices and communications to be given under a Transaction shall (subject to Sections 1.2 and 5.2 and except as otherwise provided in this GTC) be in writing and shall be deemed duly given or made if sent by facsimile or telex or delivered by hand, or if sent by courier, by delivery to a reputable courier with charges paid in accordance with the customary arrangements established by such courier, in each case addressed to a Party at the address identified. A notice sent by facsimile or telex shall be deemed to have been received by the close of the business day following the day on which it was transmitted and confirmed by the notifying Party's transmission report or such earlier time as confirmed orally or in writing by the receiving Party. Notice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jc w:val="both"/>
        <w:rPr>
          <w:rFonts w:ascii="Arial" w:hAnsi="Arial" w:cs="Arial"/>
          <w:b/>
          <w:sz w:val="20"/>
        </w:rPr>
      </w:pPr>
      <w:r>
        <w:rPr>
          <w:rFonts w:cs="Arial" w:ascii="Arial" w:hAnsi="Arial"/>
          <w:b/>
          <w:sz w:val="20"/>
        </w:rPr>
        <w:t>17.</w:t>
        <w:tab/>
        <w:t>Other</w:t>
      </w:r>
    </w:p>
    <w:p>
      <w:pPr>
        <w:pStyle w:val="Normal"/>
        <w:jc w:val="both"/>
        <w:rPr>
          <w:rFonts w:ascii="Arial" w:hAnsi="Arial" w:cs="Arial"/>
          <w:sz w:val="20"/>
        </w:rPr>
      </w:pPr>
      <w:r>
        <w:rPr>
          <w:rFonts w:cs="Arial" w:ascii="Arial" w:hAnsi="Arial"/>
          <w:sz w:val="20"/>
        </w:rPr>
        <w:t>17.1</w:t>
        <w:tab/>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Normal"/>
        <w:jc w:val="both"/>
        <w:rPr>
          <w:rFonts w:ascii="Arial" w:hAnsi="Arial" w:cs="Arial"/>
          <w:sz w:val="20"/>
        </w:rPr>
      </w:pPr>
      <w:r>
        <w:rPr>
          <w:rFonts w:cs="Arial" w:ascii="Arial" w:hAnsi="Arial"/>
          <w:sz w:val="20"/>
        </w:rPr>
        <w:t>17.2</w:t>
        <w:tab/>
        <w:t>Subject to Section 4, nothing contained in a Transaction shall be construed as creating any rights or benefits in any person or entity, other than the Parties and their respective successors and permitted assigns.</w:t>
      </w:r>
    </w:p>
    <w:p>
      <w:pPr>
        <w:pStyle w:val="Normal"/>
        <w:jc w:val="both"/>
        <w:rPr>
          <w:rFonts w:ascii="Arial" w:hAnsi="Arial" w:cs="Arial"/>
          <w:sz w:val="20"/>
        </w:rPr>
      </w:pPr>
      <w:r>
        <w:rPr>
          <w:rFonts w:cs="Arial" w:ascii="Arial" w:hAnsi="Arial"/>
          <w:sz w:val="20"/>
        </w:rPr>
        <w:t>17.3</w:t>
        <w:tab/>
        <w:t>None of the Products delivered under a Transaction shall be resold by Buyer under any trade marks or trade names of Seller.</w:t>
      </w:r>
    </w:p>
    <w:p>
      <w:pPr>
        <w:pStyle w:val="Normal"/>
        <w:jc w:val="both"/>
        <w:rPr>
          <w:rFonts w:ascii="Arial" w:hAnsi="Arial" w:cs="Arial"/>
          <w:sz w:val="20"/>
        </w:rPr>
      </w:pPr>
      <w:r>
        <w:rPr>
          <w:rFonts w:cs="Arial" w:ascii="Arial" w:hAnsi="Arial"/>
          <w:sz w:val="20"/>
        </w:rPr>
        <w:t>17.4</w:t>
        <w:tab/>
        <w:t>Each Party shall, in the performance of a Transaction, comply with all applicable Laws and Regulations as (defined in Section 13.2) in effect on the date the Transaction is entered into, and as they may be amended from time to time. Notwithstanding anything to the contrary, the Transaction shall not be interpreted or applied so as to require either Party to do, or to refrain from doing, anything that would constitute a violation of English Laws and Regulations, including but not limited to, the Prevention of Corruption Act 1916 and the Protection of Trading Interests Act 1980 or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a Transaction in such a manner so as to ensure that neither Enron nor any of its Affiliates is placed in a position of non-compliance with English Laws and Regulations or US Laws and Regulations, including but not limited to, any reporting requirements.</w:t>
      </w:r>
    </w:p>
    <w:p>
      <w:pPr>
        <w:pStyle w:val="Normal"/>
        <w:jc w:val="both"/>
        <w:rPr>
          <w:rFonts w:ascii="Arial" w:hAnsi="Arial" w:cs="Arial"/>
          <w:sz w:val="20"/>
        </w:rPr>
      </w:pPr>
      <w:r>
        <w:rPr>
          <w:rFonts w:cs="Arial" w:ascii="Arial" w:hAnsi="Arial"/>
          <w:sz w:val="20"/>
        </w:rPr>
        <w:t>17.5</w:t>
        <w:tab/>
        <w:t>Each Party warrants that it has given no commissions, payments, gifts of substantial value, kickbacks, lavish or extensive entertainment or other things of substantial value to any employee or agent of the other in connection with a Transaction and acknowledges that the giving of such payments, gifts, entertainment, or other things of value is strictly in violation of a Transaction and may result in its termination.</w:t>
      </w:r>
    </w:p>
    <w:p>
      <w:pPr>
        <w:pStyle w:val="Normal"/>
        <w:jc w:val="both"/>
        <w:rPr>
          <w:rFonts w:ascii="Arial" w:hAnsi="Arial" w:cs="Arial"/>
          <w:sz w:val="20"/>
        </w:rPr>
      </w:pPr>
      <w:r>
        <w:rPr>
          <w:rFonts w:cs="Arial" w:ascii="Arial" w:hAnsi="Arial"/>
          <w:sz w:val="20"/>
        </w:rPr>
        <w:t>17.6</w:t>
        <w:tab/>
        <w:t>If any Loss (as defined in Section 4) of Products occurs, Buyer or Seller immediately shall notify all appropriate Governmental Authorities, including, but not limited to, the US Coast Guard or other relevant coast guards, state government agencies, the vessel master or representative, and the loading or discharge terminal (if such Loss occurs within the proximity of the terminal). Buyer and Seller shall take all reasonable steps to encourage the legally responsible party or parties,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 or parties or from any available domestic or foreign environmental or oil spill trust fund. The Party's obligations pursuant to this Section shall survive the termination of a Transaction.</w:t>
      </w:r>
    </w:p>
    <w:p>
      <w:pPr>
        <w:pStyle w:val="Normal"/>
        <w:jc w:val="both"/>
        <w:rPr>
          <w:rFonts w:ascii="Arial" w:hAnsi="Arial" w:cs="Arial"/>
          <w:sz w:val="20"/>
        </w:rPr>
      </w:pPr>
      <w:r>
        <w:rPr>
          <w:rFonts w:cs="Arial" w:ascii="Arial" w:hAnsi="Arial"/>
          <w:sz w:val="20"/>
        </w:rPr>
        <w:t>17.7</w:t>
        <w:tab/>
        <w:t xml:space="preserve">Within sixty (60) days after the Products have been delivered and the invoiced price has been paid: </w:t>
      </w:r>
    </w:p>
    <w:p>
      <w:pPr>
        <w:pStyle w:val="Normal"/>
        <w:jc w:val="both"/>
        <w:rPr>
          <w:rFonts w:ascii="Arial" w:hAnsi="Arial" w:cs="Arial"/>
          <w:sz w:val="20"/>
        </w:rPr>
      </w:pPr>
      <w:r>
        <w:rPr>
          <w:rFonts w:cs="Arial" w:ascii="Arial" w:hAnsi="Arial"/>
          <w:sz w:val="20"/>
        </w:rPr>
        <w:t>(a)</w:t>
        <w:tab/>
        <w:t xml:space="preserve">Buyer shall pay Seller any monies, costs, expenses or other sums due and owing to Seller; </w:t>
      </w:r>
    </w:p>
    <w:p>
      <w:pPr>
        <w:pStyle w:val="Normal"/>
        <w:jc w:val="both"/>
        <w:rPr>
          <w:rFonts w:ascii="Arial" w:hAnsi="Arial" w:cs="Arial"/>
          <w:sz w:val="20"/>
        </w:rPr>
      </w:pPr>
      <w:r>
        <w:rPr>
          <w:rFonts w:cs="Arial" w:ascii="Arial" w:hAnsi="Arial"/>
          <w:sz w:val="20"/>
        </w:rPr>
        <w:t>(b)</w:t>
        <w:tab/>
        <w:t xml:space="preserve">any corrections or adjustments to payments previously made to either Party shall be determined; and </w:t>
      </w:r>
    </w:p>
    <w:p>
      <w:pPr>
        <w:pStyle w:val="Normal"/>
        <w:jc w:val="both"/>
        <w:rPr>
          <w:rFonts w:ascii="Arial" w:hAnsi="Arial" w:cs="Arial"/>
          <w:sz w:val="20"/>
        </w:rPr>
      </w:pPr>
      <w:r>
        <w:rPr>
          <w:rFonts w:cs="Arial" w:ascii="Arial" w:hAnsi="Arial"/>
          <w:sz w:val="20"/>
        </w:rPr>
        <w:t xml:space="preserve">(c) </w:t>
        <w:tab/>
        <w:t xml:space="preserve">Seller shall pay Buyer any refunds due, </w:t>
      </w:r>
    </w:p>
    <w:p>
      <w:pPr>
        <w:pStyle w:val="Normal"/>
        <w:jc w:val="both"/>
        <w:rPr>
          <w:rFonts w:ascii="Arial" w:hAnsi="Arial" w:cs="Arial"/>
          <w:sz w:val="20"/>
        </w:rPr>
      </w:pPr>
      <w:r>
        <w:rPr>
          <w:rFonts w:cs="Arial" w:ascii="Arial" w:hAnsi="Arial"/>
          <w:sz w:val="20"/>
        </w:rPr>
        <w:t>in each case under or in relation to a Transaction.</w:t>
      </w:r>
    </w:p>
    <w:p>
      <w:pPr>
        <w:pStyle w:val="Normal"/>
        <w:jc w:val="both"/>
        <w:rPr>
          <w:rFonts w:ascii="Arial" w:hAnsi="Arial" w:cs="Arial"/>
          <w:sz w:val="20"/>
        </w:rPr>
      </w:pPr>
      <w:r>
        <w:rPr>
          <w:rFonts w:cs="Arial" w:ascii="Arial" w:hAnsi="Arial"/>
          <w:sz w:val="20"/>
        </w:rPr>
        <w:t>17.8</w:t>
        <w:tab/>
        <w:t>All indemnity and payment obligations shall survive the termination of a Transaction.</w:t>
      </w:r>
    </w:p>
    <w:p>
      <w:pPr>
        <w:pStyle w:val="Normal"/>
        <w:jc w:val="both"/>
        <w:rPr>
          <w:rFonts w:ascii="Arial" w:hAnsi="Arial" w:cs="Arial"/>
          <w:sz w:val="20"/>
        </w:rPr>
      </w:pPr>
      <w:r>
        <w:rPr>
          <w:rFonts w:cs="Arial" w:ascii="Arial" w:hAnsi="Arial"/>
          <w:sz w:val="20"/>
        </w:rPr>
        <w:t>17.9</w:t>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or (c) so far as may be necessary or desirable for the performance of, and the exercise of its rights under, a Transaction and the acquisition, use and disposal of the Products. The confidentiality obligations of this Section 17.9 shall survive termination of a Transaction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jc w:val="both"/>
        <w:rPr/>
      </w:pPr>
      <w:r>
        <w:rPr>
          <w:rFonts w:cs="Arial" w:ascii="Arial" w:hAnsi="Arial"/>
          <w:sz w:val="20"/>
        </w:rPr>
        <w:t>17.10</w:t>
        <w:tab/>
        <w:t>Each Transaction shall be binding on the respective successors and permitted assigns of the Parties. Neither Party may assign its rights or obligations under a Transaction, in whole or in part, without the prior written consent of the other Party (except that Enron may, without the other Party's consent, assign its rights and/or obligations under a Transaction to any "</w:t>
      </w:r>
      <w:r>
        <w:rPr>
          <w:rFonts w:cs="Arial" w:ascii="Arial" w:hAnsi="Arial"/>
          <w:b/>
          <w:sz w:val="20"/>
        </w:rPr>
        <w:t>Affiliate</w:t>
      </w:r>
      <w:r>
        <w:rPr>
          <w:rFonts w:cs="Arial" w:ascii="Arial" w:hAnsi="Arial"/>
          <w:sz w:val="20"/>
        </w:rPr>
        <w:t>" of Enron). An "</w:t>
      </w:r>
      <w:r>
        <w:rPr>
          <w:rFonts w:cs="Arial" w:ascii="Arial" w:hAnsi="Arial"/>
          <w:b/>
          <w:sz w:val="20"/>
        </w:rPr>
        <w:t>Affiliate</w:t>
      </w:r>
      <w:r>
        <w:rPr>
          <w:rFonts w:cs="Arial" w:ascii="Arial" w:hAnsi="Arial"/>
          <w:sz w:val="20"/>
        </w:rPr>
        <w:t>"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 If written consent is given for any assignment, and except in the case of assignment by Enron to an Affiliate in accordance with this Section 17.10, the assigning Party shall remain jointly and severally liable with the assignee for the full performance of the assigning Party's obligations under a Transaction.</w:t>
      </w:r>
    </w:p>
    <w:p>
      <w:pPr>
        <w:pStyle w:val="Normal"/>
        <w:jc w:val="both"/>
        <w:rPr>
          <w:rFonts w:ascii="Arial" w:hAnsi="Arial" w:cs="Arial"/>
          <w:sz w:val="20"/>
        </w:rPr>
      </w:pPr>
      <w:r>
        <w:rPr>
          <w:rFonts w:cs="Arial" w:ascii="Arial" w:hAnsi="Arial"/>
          <w:sz w:val="20"/>
        </w:rPr>
        <w:t>17.11</w:t>
        <w:tab/>
        <w:t>Section headings are for convenience only and shall not be interpreted in any way to limit or change the subject matter of a Transaction. Unless the context otherwise requires, references in a Transaction to the singular include the plural and vice versa, references to any gender include all genders and references to persons include bodies corporate and unincorporated associations.</w:t>
      </w:r>
    </w:p>
    <w:p>
      <w:pPr>
        <w:pStyle w:val="Normal"/>
        <w:jc w:val="both"/>
        <w:rPr>
          <w:rFonts w:ascii="Arial" w:hAnsi="Arial" w:cs="Arial"/>
          <w:sz w:val="20"/>
        </w:rPr>
      </w:pPr>
      <w:r>
        <w:rPr>
          <w:rFonts w:cs="Arial" w:ascii="Arial" w:hAnsi="Arial"/>
          <w:sz w:val="20"/>
        </w:rPr>
        <w:t>17.12</w:t>
        <w:tab/>
        <w:t>The provisions of a Transaction are severable, and if any portion of a Transaction is deemed legally invalid or unenforceable, the remainder of a Transaction shall survive and remain in full force and effect.</w:t>
      </w:r>
    </w:p>
    <w:p>
      <w:pPr>
        <w:pStyle w:val="Normal"/>
        <w:jc w:val="both"/>
        <w:rPr>
          <w:rFonts w:ascii="Arial" w:hAnsi="Arial" w:cs="Arial"/>
          <w:sz w:val="20"/>
        </w:rPr>
      </w:pPr>
      <w:r>
        <w:rPr>
          <w:rFonts w:cs="Arial" w:ascii="Arial" w:hAnsi="Arial"/>
          <w:sz w:val="20"/>
        </w:rPr>
        <w:t>17.13</w:t>
        <w:tab/>
        <w:t>The Parties confirm that it is their desire that a Transaction, as well as any other documents and notices furnished pursuant to a Transaction, have been and shall be in the English language only.</w:t>
      </w:r>
    </w:p>
    <w:p>
      <w:pPr>
        <w:pStyle w:val="Normal"/>
        <w:jc w:val="both"/>
        <w:rPr/>
      </w:pPr>
      <w:r>
        <w:rPr>
          <w:rFonts w:cs="Arial" w:ascii="Arial" w:hAnsi="Arial"/>
          <w:sz w:val="20"/>
        </w:rPr>
        <w:t>17.14</w:t>
        <w:tab/>
        <w:t>Buyer shall provide its employees, agents, contractors, users and customers with any Material Safety Data Sheet ("</w:t>
      </w:r>
      <w:r>
        <w:rPr>
          <w:rFonts w:cs="Arial" w:ascii="Arial" w:hAnsi="Arial"/>
          <w:b/>
          <w:sz w:val="20"/>
        </w:rPr>
        <w:t>MSDS</w:t>
      </w:r>
      <w:r>
        <w:rPr>
          <w:rFonts w:cs="Arial" w:ascii="Arial" w:hAnsi="Arial"/>
          <w:sz w:val="20"/>
        </w:rPr>
        <w:t>") and any other information relating to health, safety and environmental data (together "</w:t>
      </w:r>
      <w:r>
        <w:rPr>
          <w:rFonts w:cs="Arial" w:ascii="Arial" w:hAnsi="Arial"/>
          <w:b/>
          <w:sz w:val="20"/>
        </w:rPr>
        <w:t>Safety Information</w:t>
      </w:r>
      <w:r>
        <w:rPr>
          <w:rFonts w:cs="Arial" w:ascii="Arial" w:hAnsi="Arial"/>
          <w:sz w:val="20"/>
        </w:rPr>
        <w:t>") provided by Seller from time to time in connection with the Products delivered hereunder and shall be responsible for ensuring that the recommendations relating to handling and use of such Products set out in the Safety Information are followed by them and that they otherwise handle the Products with the care necessary to avoid any harm or injury to health, safety or the environment. Buyer shall impose on its customers or other recipients of such Products the obligations specified above and an obligation to include obligations in any contract for the sale or any other form of disposal of such Products together with a provision in the same terms as this sentence. Without prejudice to the generality of Section 17.4, Buyer shall be responsible for ensuring that any obligations, requirements or recommendations in respect of health, safety and the environment relating to such Products are complied with under the Laws and Regulations in force in or applying to territories, states or other jurisdictions in or to which Buyer sells or otherwise disposes of or uses such Products. Seller shall not be responsible in any respect whatsoever for any loss, damage or injury resulting from any hazards inherent in the nature of the product delivered hereunder.</w:t>
      </w:r>
    </w:p>
    <w:p>
      <w:pPr>
        <w:pStyle w:val="Normal"/>
        <w:jc w:val="both"/>
        <w:rPr/>
      </w:pPr>
      <w:r>
        <w:rPr>
          <w:rFonts w:cs="Arial" w:ascii="Arial" w:hAnsi="Arial"/>
          <w:sz w:val="20"/>
        </w:rPr>
        <w:t>17.15</w:t>
        <w:tab/>
        <w:t>Without prejudice to the generality of Sections 13 and 17.4, Buyer undertakes that the Products will not be disposed of for supply to (or imported by Buyer or others into) (a) any destination or in any manner which at that time is prohibited under the Laws and Regulations of any Governmental Authority in the country in which they were produced, manufactured or processed; or (b) any country, state, territory or region against which there are sanctions imposed by English law or by the United Nations or the US or other sanctions (a "</w:t>
      </w:r>
      <w:r>
        <w:rPr>
          <w:rFonts w:cs="Arial" w:ascii="Arial" w:hAnsi="Arial"/>
          <w:b/>
          <w:sz w:val="20"/>
        </w:rPr>
        <w:t>restricted jurisdiction</w:t>
      </w:r>
      <w:r>
        <w:rPr>
          <w:rFonts w:cs="Arial" w:ascii="Arial" w:hAnsi="Arial"/>
          <w:sz w:val="20"/>
        </w:rPr>
        <w:t>") or any person in a restricted jurisdiction or for the purposes of any commercial activity carried out in or from a restricted jurisdiction. Buyer shall keep itself informed as to such Laws and Regulations and ensure they are complied with. Buyer shall on request advise Seller of the country of destination of the Products. Buyer shall provide such evidence as Seller may reasonably require of the destination and arrival of the Products within 21 days after request or (if later) 45 days after arrival. Buyer's obligations shall not be affected by any sale or disposal of the Products by Buyer. If compliance with the foregoing provisions of this Section 17.15 would, by virtue of any change of Laws and Regulations after the date of a Transaction, have the effect of requiring either Party to participate in or co-operate with any international boycott, or otherwise to take action which would violate other applicable Laws and Regulations, then either party may forthwith (and in any event within 15 days after the change) terminate a Transaction by giving to the other Party written notice to that effect specifying the reasons.</w:t>
      </w:r>
    </w:p>
    <w:p>
      <w:pPr>
        <w:pStyle w:val="Normal"/>
        <w:jc w:val="both"/>
        <w:rPr>
          <w:rFonts w:ascii="Arial" w:hAnsi="Arial" w:cs="Arial"/>
          <w:b/>
          <w:sz w:val="20"/>
        </w:rPr>
      </w:pPr>
      <w:r>
        <w:rPr>
          <w:rFonts w:cs="Arial" w:ascii="Arial" w:hAnsi="Arial"/>
          <w:b/>
          <w:sz w:val="20"/>
        </w:rPr>
        <w:t>18.</w:t>
        <w:tab/>
        <w:t>Measurement and Sampling</w:t>
      </w:r>
    </w:p>
    <w:p>
      <w:pPr>
        <w:pStyle w:val="Normal"/>
        <w:jc w:val="both"/>
        <w:rPr>
          <w:rFonts w:ascii="Arial" w:hAnsi="Arial" w:cs="Arial"/>
          <w:sz w:val="20"/>
        </w:rPr>
      </w:pPr>
      <w:r>
        <w:rPr>
          <w:rFonts w:cs="Arial" w:ascii="Arial" w:hAnsi="Arial"/>
          <w:sz w:val="20"/>
        </w:rPr>
        <w:t>18.1</w:t>
        <w:tab/>
        <w:t>The quantity and quality of the Products shall be determined (on the basis set out in this website) by an independent, licensed petroleum inspector appointed by Seller and approved by Buyer (such approval not to be unreasonably withheld or delayed). The costs of inspection shall be shared equally between the Parties. The inspector's determination as to quantity and quality shall be conclusive and binding upon both Parties.</w:t>
      </w:r>
    </w:p>
    <w:p>
      <w:pPr>
        <w:pStyle w:val="Normal"/>
        <w:jc w:val="both"/>
        <w:rPr>
          <w:rFonts w:ascii="Arial" w:hAnsi="Arial" w:cs="Arial"/>
          <w:sz w:val="20"/>
        </w:rPr>
      </w:pPr>
      <w:r>
        <w:rPr>
          <w:rFonts w:cs="Arial" w:ascii="Arial" w:hAnsi="Arial"/>
          <w:sz w:val="20"/>
        </w:rPr>
        <w:t>18.2</w:t>
        <w:tab/>
        <w:t>All measurements and tests for quantity and quality shall be made in accordance with the standard measuring and testing procedures in effect for such Products at the loading terminal at the time of loading (or, in the case of sales on CIF Outturn terms, at the discharge terminal at the time of discharge), unless otherwise specified. Volumes shall be corrected to 60 degrees Fahrenheit in accordance with the latest ASTM test methods and the latest edition of API volume correction factors then in effect.</w:t>
      </w:r>
    </w:p>
    <w:p>
      <w:pPr>
        <w:pStyle w:val="Normal"/>
        <w:jc w:val="both"/>
        <w:rPr>
          <w:rFonts w:ascii="Arial" w:hAnsi="Arial" w:cs="Arial"/>
          <w:sz w:val="20"/>
        </w:rPr>
      </w:pPr>
      <w:r>
        <w:rPr>
          <w:rFonts w:cs="Arial" w:ascii="Arial" w:hAnsi="Arial"/>
          <w:sz w:val="20"/>
        </w:rPr>
        <w:t>18.3</w:t>
        <w:tab/>
        <w:t>Both Parties may have a representative present at the loading terminal to witness all measurements and tests. Representative samples normally will be drawn from the loading line or alternatively from the shore tanks from which delivery is made, by the standard sampling procedures in force at the loading terminal at the time of loading (but, in the case of sales on CIF Outturn terms, they will normally be drawn prior to discharge from the vessel from which delivery is made, by applying the standard sampling rules and procedures in force at the discharge terminal at the time of discharge). Samples shall be sealed, one to be kept by Seller for not less than (90) days and the other to be delivered to the vessel for Buyer.</w:t>
      </w:r>
    </w:p>
    <w:p>
      <w:pPr>
        <w:pStyle w:val="Normal"/>
        <w:jc w:val="both"/>
        <w:rPr>
          <w:rFonts w:ascii="Arial" w:hAnsi="Arial" w:cs="Arial"/>
          <w:sz w:val="20"/>
        </w:rPr>
      </w:pPr>
      <w:r>
        <w:rPr>
          <w:rFonts w:cs="Arial" w:ascii="Arial" w:hAnsi="Arial"/>
          <w:sz w:val="20"/>
        </w:rPr>
        <w:t>18.4</w:t>
        <w:tab/>
        <w:t>The Parties shall cause the independent inspector to gauge and record inactive shore tank measurements immediately before and immediately after loading (or, in the case of sales on CIF Outturn terms, discharging) of the Products to determine the volume of Products loaded (or, in the case of sales on CIF Outturn terms, discharged) (adjusted for slack volume in shorelines, if any), or by meters, if meters are available. When lightering is permitted, the quantity shall be based on barge ullage measurements at the lightering area corrected by the vessel experience factor. Unless otherwise agreed, the quantity of Products so determined shall be used for invoicing. In the case of Products sold CIF Outturn, with invoicing based upon discharge quantity, Seller has the right to have its own representative present at the discharge terminal during discharge.</w:t>
      </w:r>
    </w:p>
    <w:p>
      <w:pPr>
        <w:pStyle w:val="Normal"/>
        <w:jc w:val="both"/>
        <w:rPr>
          <w:rFonts w:ascii="Arial" w:hAnsi="Arial" w:cs="Arial"/>
          <w:sz w:val="20"/>
        </w:rPr>
      </w:pPr>
      <w:r>
        <w:rPr>
          <w:rFonts w:cs="Arial" w:ascii="Arial" w:hAnsi="Arial"/>
          <w:sz w:val="20"/>
        </w:rPr>
        <w:t>18.5</w:t>
        <w:tab/>
        <w:t>If the inspector's determination shows the quantity and quality of Products loaded onto the vessel (or, in the case of sales on CIF Outturn terms, discharged from the vessel) to be in accordance with the requirements of a Transaction, then Buyer shall be deemed to have accepted such Products and may not reject them. Buyer may not reject Products by reason that the quantity loaded or discharged (as the case may be) is less than required by a Transaction. If the quantity of Products tendered for loading or discharge or loaded or discharged (as the case may be) is larger than required by a Transaction, Buyer may either accept them all (and pay for them all at the contract rate) or reject the excess but may not reject them all.</w:t>
      </w:r>
    </w:p>
    <w:p>
      <w:pPr>
        <w:pStyle w:val="Normal"/>
        <w:jc w:val="both"/>
        <w:rPr>
          <w:rFonts w:ascii="Arial" w:hAnsi="Arial" w:cs="Arial"/>
          <w:sz w:val="20"/>
        </w:rPr>
      </w:pPr>
      <w:r>
        <w:rPr>
          <w:rFonts w:cs="Arial" w:ascii="Arial" w:hAnsi="Arial"/>
          <w:sz w:val="20"/>
        </w:rPr>
        <w:t>18.6</w:t>
        <w:tab/>
        <w:t>Buyer shall notify Seller of any claim as to defect in quality of the Products in writing immediately after such defect is discovered. Seller shall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bill of lading (in the case of a sale on CIF or CFR terms) or from the date of discharge (in the case of a sale on CIF Outturn terms). Should Buyer fail to submit such claim or provide such details and/or documentation within this time period, then such failure shall be deemed a waiver by Buyer of any such quantity or quality claim and any liability of Seller for any such claim shall automatically be extinguished.</w:t>
      </w:r>
    </w:p>
    <w:p>
      <w:pPr>
        <w:pStyle w:val="Normal"/>
        <w:jc w:val="both"/>
        <w:rPr>
          <w:rFonts w:ascii="Arial" w:hAnsi="Arial" w:cs="Arial"/>
          <w:b/>
          <w:sz w:val="20"/>
        </w:rPr>
      </w:pPr>
      <w:r>
        <w:rPr>
          <w:rFonts w:cs="Arial" w:ascii="Arial" w:hAnsi="Arial"/>
          <w:b/>
          <w:sz w:val="20"/>
        </w:rPr>
        <w:t>19.</w:t>
        <w:tab/>
        <w:t>Nomination and Delivery Schedule</w:t>
      </w:r>
    </w:p>
    <w:p>
      <w:pPr>
        <w:pStyle w:val="Normal"/>
        <w:jc w:val="both"/>
        <w:rPr/>
      </w:pPr>
      <w:r>
        <w:rPr>
          <w:rFonts w:cs="Arial" w:ascii="Arial" w:hAnsi="Arial"/>
          <w:sz w:val="20"/>
        </w:rPr>
        <w:t>19.1</w:t>
        <w:tab/>
        <w:t>Seller shall notify Buyer by facsimile, telegram or telex of the delivery schedule as far in advance as is reasonably practicable. The notification shall include: (i) the loading date range and the loading terminal; (ii) confirmation of the grade and estimated quantity (plus or minus 5%) of the Products to be loaded; (iii) the name of the vessel (unless "to be nominated" ("</w:t>
      </w:r>
      <w:r>
        <w:rPr>
          <w:rFonts w:cs="Arial" w:ascii="Arial" w:hAnsi="Arial"/>
          <w:b/>
          <w:sz w:val="20"/>
        </w:rPr>
        <w:t>TBN</w:t>
      </w:r>
      <w:r>
        <w:rPr>
          <w:rFonts w:cs="Arial" w:ascii="Arial" w:hAnsi="Arial"/>
          <w:sz w:val="20"/>
        </w:rPr>
        <w:t>") procedure is used, in which case Seller shall provide Buyer with the name and physical characteristics of the vessel as soon as is reasonably practicable); and (iv) the estimated date of arrival at the discharge port.</w:t>
      </w:r>
    </w:p>
    <w:p>
      <w:pPr>
        <w:pStyle w:val="Normal"/>
        <w:jc w:val="both"/>
        <w:rPr>
          <w:rFonts w:ascii="Arial" w:hAnsi="Arial" w:cs="Arial"/>
          <w:sz w:val="20"/>
        </w:rPr>
      </w:pPr>
      <w:r>
        <w:rPr>
          <w:rFonts w:cs="Arial" w:ascii="Arial" w:hAnsi="Arial"/>
          <w:sz w:val="20"/>
        </w:rPr>
        <w:t>19.2</w:t>
        <w:tab/>
        <w:t>Buyer shall notify Seller by facsimile, telegram or telex that it accepts or rejects the nominated vessel (which acceptance shall not be unreasonably withheld or delayed) within two (2) days of such notice from Seller.</w:t>
      </w:r>
    </w:p>
    <w:p>
      <w:pPr>
        <w:pStyle w:val="Normal"/>
        <w:jc w:val="both"/>
        <w:rPr>
          <w:rFonts w:ascii="Arial" w:hAnsi="Arial" w:cs="Arial"/>
          <w:sz w:val="20"/>
        </w:rPr>
      </w:pPr>
      <w:r>
        <w:rPr>
          <w:rFonts w:cs="Arial" w:ascii="Arial" w:hAnsi="Arial"/>
          <w:sz w:val="20"/>
        </w:rPr>
        <w:t>19.3</w:t>
        <w:tab/>
        <w:t>Seller may substitute for a vessel which has been nominated and accepted another vessel whose size and capacity are equivalent to the vessel originally nominated; provided, however, that the substituted vessel is able to load the same estimated quantity of Products during the same loading date range.</w:t>
      </w:r>
    </w:p>
    <w:p>
      <w:pPr>
        <w:pStyle w:val="Normal"/>
        <w:jc w:val="both"/>
        <w:rPr>
          <w:rFonts w:ascii="Arial" w:hAnsi="Arial" w:cs="Arial"/>
          <w:sz w:val="20"/>
        </w:rPr>
      </w:pPr>
      <w:r>
        <w:rPr>
          <w:rFonts w:cs="Arial" w:ascii="Arial" w:hAnsi="Arial"/>
          <w:sz w:val="20"/>
        </w:rPr>
        <w:t>19.4</w:t>
        <w:tab/>
        <w:t>No later than five (5) days prior to the first day of the loading date range, Buyer shall advise Seller of any documentation instructions applicable at the discharge port and Seller shall use reasonable efforts to comply with them.</w:t>
      </w:r>
    </w:p>
    <w:p>
      <w:pPr>
        <w:pStyle w:val="Normal"/>
        <w:jc w:val="both"/>
        <w:rPr/>
      </w:pPr>
      <w:r>
        <w:rPr>
          <w:rFonts w:cs="Arial" w:ascii="Arial" w:hAnsi="Arial"/>
          <w:sz w:val="20"/>
        </w:rPr>
        <w:t>19.5</w:t>
        <w:tab/>
        <w:t>Prior to nomination of vessel, Buyer shall notify Seller of any restrictions or limitations at the agreed upon discharge port. Any vessel nominated by Seller shall meet the general vessel requirements of the discharge terminal (including any pollution insurance requirements of the terminal). The vessel shall fully comply with (or hold necessary waivers from) all Laws and Regulations of any Governmental Authority, as are applicable and in effect at the port of discharge as of the date the vessel gives Notice of Readiness ("</w:t>
      </w:r>
      <w:r>
        <w:rPr>
          <w:rFonts w:cs="Arial" w:ascii="Arial" w:hAnsi="Arial"/>
          <w:b/>
          <w:sz w:val="20"/>
        </w:rPr>
        <w:t>NOR</w:t>
      </w:r>
      <w:r>
        <w:rPr>
          <w:rFonts w:cs="Arial" w:ascii="Arial" w:hAnsi="Arial"/>
          <w:sz w:val="20"/>
        </w:rPr>
        <w:t>"). The vessel shall have in place all certificates as may be required by such applicable Laws and Regulations, including certificates of financial responsibility. Seller warrants that the vessel shall be owned or demise chartered by a member of the International Tanker Owners Pollution Federation Limited and shall be entered in a Protection and Indemnity Association.</w:t>
      </w:r>
    </w:p>
    <w:p>
      <w:pPr>
        <w:pStyle w:val="Normal"/>
        <w:jc w:val="both"/>
        <w:rPr>
          <w:rFonts w:ascii="Arial" w:hAnsi="Arial" w:cs="Arial"/>
          <w:sz w:val="20"/>
        </w:rPr>
      </w:pPr>
      <w:r>
        <w:rPr>
          <w:rFonts w:cs="Arial" w:ascii="Arial" w:hAnsi="Arial"/>
          <w:sz w:val="20"/>
        </w:rPr>
        <w:t>19.6</w:t>
        <w:tab/>
        <w:t>Seller shall notify Buyer, as soon after completion of loading as reasonably practicable, of the quantity of Products loaded and the expected date of arrival of the vessel at the discharge terminal. Seller undertakes to advise Buyer promptly of any change in the delivery schedule arising from weather, operational matters or any circumstances beyond Seller's reasonable control.</w:t>
      </w:r>
    </w:p>
    <w:p>
      <w:pPr>
        <w:pStyle w:val="Normal"/>
        <w:jc w:val="both"/>
        <w:rPr>
          <w:rFonts w:ascii="Arial" w:hAnsi="Arial" w:cs="Arial"/>
          <w:sz w:val="20"/>
        </w:rPr>
      </w:pPr>
      <w:r>
        <w:rPr>
          <w:rFonts w:cs="Arial" w:ascii="Arial" w:hAnsi="Arial"/>
          <w:sz w:val="20"/>
        </w:rPr>
        <w:t>19.7</w:t>
        <w:tab/>
        <w:t>Buyer shall use reasonable endeavours to accept or obtain acceptance of any nomination which has not been made in strict accordance with the provisions of this Section 19.</w:t>
      </w:r>
    </w:p>
    <w:p>
      <w:pPr>
        <w:pStyle w:val="Normal"/>
        <w:jc w:val="both"/>
        <w:rPr>
          <w:rFonts w:ascii="Arial" w:hAnsi="Arial" w:cs="Arial"/>
          <w:b/>
          <w:sz w:val="20"/>
        </w:rPr>
      </w:pPr>
      <w:r>
        <w:rPr>
          <w:rFonts w:cs="Arial" w:ascii="Arial" w:hAnsi="Arial"/>
          <w:b/>
          <w:sz w:val="20"/>
        </w:rPr>
        <w:t>20.</w:t>
        <w:tab/>
        <w:t>Delivery at the Discharge Terminal</w:t>
      </w:r>
    </w:p>
    <w:p>
      <w:pPr>
        <w:pStyle w:val="Normal"/>
        <w:jc w:val="both"/>
        <w:rPr>
          <w:rFonts w:ascii="Arial" w:hAnsi="Arial" w:cs="Arial"/>
          <w:sz w:val="20"/>
        </w:rPr>
      </w:pPr>
      <w:r>
        <w:rPr>
          <w:rFonts w:cs="Arial" w:ascii="Arial" w:hAnsi="Arial"/>
          <w:sz w:val="20"/>
        </w:rPr>
        <w:t>20.1</w:t>
        <w:tab/>
        <w:t xml:space="preserve">Seller may refuse at any time to direct the vessel to complete the voyage to the original intended destination (a) if it would be required to transit or proceed to or remain (i) in waters such as to be in breach of Institute Warranties or, in Seller's opinion, risk to its safety or risk of ice damage or (ii) in waters affected by war, hostilities, warlike operations, civil war, civil commotion or revolution or (b) if the vessel is diverted or required to discharge at an alternative safe port due to the operation of international law or compliance with any Laws and Regulations or any directions or recommendations of any Governmental Authority. In any such case the Parties shall consult together and agree mutually acceptable alternative action, any additional cost or expense of which will be for the account of Buyer and without limitation Buyer shall indemnify Seller against any resulting additional expenses incurred under the terms of the charter party. </w:t>
      </w:r>
    </w:p>
    <w:p>
      <w:pPr>
        <w:pStyle w:val="Normal"/>
        <w:jc w:val="both"/>
        <w:rPr>
          <w:rFonts w:ascii="Arial" w:hAnsi="Arial" w:cs="Arial"/>
          <w:sz w:val="20"/>
        </w:rPr>
      </w:pPr>
      <w:r>
        <w:rPr>
          <w:rFonts w:cs="Arial" w:ascii="Arial" w:hAnsi="Arial"/>
          <w:sz w:val="20"/>
        </w:rPr>
        <w:t>20.2</w:t>
        <w:tab/>
        <w:t>Seller shall arrange to have Buyer and the discharge terminal notified by facsimile, telex or telegram of the estimated date and time of arrival of the vessel approximately (and no less than) seventy-two (72), forty-eight (48) and twenty-four (24) hours prior to the time at which it is expected to arrive at the discharge port (or at such other times as are otherwise required by the rules and regulations applicable at the discharge terminal).</w:t>
      </w:r>
    </w:p>
    <w:p>
      <w:pPr>
        <w:pStyle w:val="Normal"/>
        <w:jc w:val="both"/>
        <w:rPr>
          <w:rFonts w:ascii="Arial" w:hAnsi="Arial" w:cs="Arial"/>
          <w:sz w:val="20"/>
        </w:rPr>
      </w:pPr>
      <w:r>
        <w:rPr>
          <w:rFonts w:cs="Arial" w:ascii="Arial" w:hAnsi="Arial"/>
          <w:sz w:val="20"/>
        </w:rPr>
        <w:t>20.3</w:t>
        <w:tab/>
        <w:t xml:space="preserve">Buyer shall cause the discharge terminal to provide free of charge a discharge berth for the nominated vessel with sufficient depth to allow the vessel when fully laden to proceed thereto, lie thereat, discharge the Products and depart therefrom, always safely afloat. </w:t>
      </w:r>
    </w:p>
    <w:p>
      <w:pPr>
        <w:pStyle w:val="Normal"/>
        <w:jc w:val="both"/>
        <w:rPr/>
      </w:pPr>
      <w:r>
        <w:rPr>
          <w:rFonts w:cs="Arial" w:ascii="Arial" w:hAnsi="Arial"/>
          <w:sz w:val="20"/>
        </w:rPr>
        <w:t>20.4</w:t>
        <w:tab/>
        <w:t>Seller shall be responsible for all dues, costs and other charges due in respect of the vessel at the discharge terminal which are for the account of the vessel owner(s) or charterer according to the New Worldwide Tanker Nominal Freight Scale ("</w:t>
      </w:r>
      <w:r>
        <w:rPr>
          <w:rFonts w:cs="Arial" w:ascii="Arial" w:hAnsi="Arial"/>
          <w:b/>
          <w:sz w:val="20"/>
        </w:rPr>
        <w:t>WORLDSCALE</w:t>
      </w:r>
      <w:r>
        <w:rPr>
          <w:rFonts w:cs="Arial" w:ascii="Arial" w:hAnsi="Arial"/>
          <w:sz w:val="20"/>
        </w:rPr>
        <w:t>"), except that Buyer shall reimburse Seller for any such charges incurred as a result of any act or omission of Buyer or its consignee.</w:t>
      </w:r>
    </w:p>
    <w:p>
      <w:pPr>
        <w:pStyle w:val="Normal"/>
        <w:jc w:val="both"/>
        <w:rPr>
          <w:rFonts w:ascii="Arial" w:hAnsi="Arial" w:cs="Arial"/>
          <w:sz w:val="20"/>
        </w:rPr>
      </w:pPr>
      <w:r>
        <w:rPr>
          <w:rFonts w:cs="Arial" w:ascii="Arial" w:hAnsi="Arial"/>
          <w:sz w:val="20"/>
        </w:rPr>
        <w:t>20.5</w:t>
        <w:tab/>
        <w:t>The discharge terminal or Buyer may require a vessel to shift berth (subject to the consent of the master and the safety of the vessel not being compromised), in which case the risks of liability (including environmental pollution) and costs of shifting berth shall be for the account of Buyer and the shifting time shall be counted as used laytime or, if the vessel is already on demurrage, as time on demurrage.</w:t>
      </w:r>
    </w:p>
    <w:p>
      <w:pPr>
        <w:pStyle w:val="Normal"/>
        <w:jc w:val="both"/>
        <w:rPr>
          <w:rFonts w:ascii="Arial" w:hAnsi="Arial" w:cs="Arial"/>
          <w:sz w:val="20"/>
        </w:rPr>
      </w:pPr>
      <w:r>
        <w:rPr>
          <w:rFonts w:cs="Arial" w:ascii="Arial" w:hAnsi="Arial"/>
          <w:sz w:val="20"/>
        </w:rPr>
        <w:t>20.6</w:t>
        <w:tab/>
        <w:t>Unless otherwise specifically agreed, lightering shall not be permitted. Any lightering shall be at the sole expense of Buyer, and Buyer shall assume all risks of liability, including, but not limited to, environmental pollution. All time used in such lightering, together with any consequential delay, shall count as used laytime, or if the vessel is on demurrage, as time on demurrage, as provided in Section 6.5 below.</w:t>
      </w:r>
    </w:p>
    <w:p>
      <w:pPr>
        <w:pStyle w:val="Normal"/>
        <w:jc w:val="both"/>
        <w:rPr>
          <w:rFonts w:ascii="Arial" w:hAnsi="Arial" w:cs="Arial"/>
          <w:sz w:val="20"/>
        </w:rPr>
      </w:pPr>
      <w:r>
        <w:rPr>
          <w:rFonts w:cs="Arial" w:ascii="Arial" w:hAnsi="Arial"/>
          <w:sz w:val="20"/>
        </w:rPr>
        <w:t>20.7</w:t>
        <w:tab/>
        <w:t xml:space="preserve">Buyer shall arrange to have the vessel discharge as expeditiously as possible. Buyer shall at its own expense provide or cause to be provided all necessary flexible hoses, connection, pipelines, tankage facilities and any other equipment or facilities necessary for the safe and efficient discharge of the Products from the vessel. Buyer shall indemnify Seller against any additional expenses incurred under the charter party for pumping ashore oil residues to comply with oil pollution avoidance programmes. </w:t>
      </w:r>
    </w:p>
    <w:p>
      <w:pPr>
        <w:pStyle w:val="Normal"/>
        <w:jc w:val="both"/>
        <w:rPr>
          <w:rFonts w:ascii="Arial" w:hAnsi="Arial" w:cs="Arial"/>
          <w:sz w:val="20"/>
        </w:rPr>
      </w:pPr>
      <w:r>
        <w:rPr>
          <w:rFonts w:cs="Arial" w:ascii="Arial" w:hAnsi="Arial"/>
          <w:sz w:val="20"/>
        </w:rPr>
        <w:t>20.8</w:t>
        <w:tab/>
        <w:t>The vessel shall vacate the berth as soon as possible after completion of discharge and ballasting provided the vessel can safely do so.</w:t>
      </w:r>
    </w:p>
    <w:p>
      <w:pPr>
        <w:pStyle w:val="Normal"/>
        <w:jc w:val="both"/>
        <w:rPr>
          <w:rFonts w:ascii="Arial" w:hAnsi="Arial" w:cs="Arial"/>
          <w:sz w:val="20"/>
        </w:rPr>
      </w:pPr>
      <w:r>
        <w:rPr>
          <w:rFonts w:cs="Arial" w:ascii="Arial" w:hAnsi="Arial"/>
          <w:sz w:val="20"/>
        </w:rPr>
        <w:t>20.9</w:t>
        <w:tab/>
        <w:t>Without prejudice to the generality of, and subject to, the provisions set out in Section 8, Buyer shall be the importer of record, shall comply with all Laws and Regulations in effect at the discharge port governing the importation of the Products, shall assume and be responsible for any taxes, duties, imposts, charges, fees and dues of every description and howsoever designated attributable or related to importation of the Products which may be imposed, (including, without limitation, any customs or excise duties, import taxes, environmental or spill taxes, user or port maintenance fees and or superfund taxes) and shall promptly reimburse Seller for the amount of any of the same paid by Seller, including interest and penalties, if applicable.</w:t>
      </w:r>
    </w:p>
    <w:p>
      <w:pPr>
        <w:pStyle w:val="Normal"/>
        <w:jc w:val="both"/>
        <w:rPr>
          <w:rFonts w:ascii="Arial" w:hAnsi="Arial" w:cs="Arial"/>
          <w:b/>
          <w:sz w:val="20"/>
        </w:rPr>
      </w:pPr>
      <w:r>
        <w:rPr>
          <w:rFonts w:cs="Arial" w:ascii="Arial" w:hAnsi="Arial"/>
          <w:b/>
          <w:sz w:val="20"/>
        </w:rPr>
        <w:t>21.</w:t>
        <w:tab/>
        <w:t>Laytime and Demurrage</w:t>
      </w:r>
    </w:p>
    <w:p>
      <w:pPr>
        <w:pStyle w:val="Normal"/>
        <w:jc w:val="both"/>
        <w:rPr>
          <w:rFonts w:ascii="Arial" w:hAnsi="Arial" w:cs="Arial"/>
          <w:sz w:val="20"/>
        </w:rPr>
      </w:pPr>
      <w:r>
        <w:rPr>
          <w:rFonts w:cs="Arial" w:ascii="Arial" w:hAnsi="Arial"/>
          <w:sz w:val="20"/>
        </w:rPr>
        <w:t>21.1</w:t>
        <w:tab/>
        <w:t>Upon arrival at the discharge terminal or the customary anchorage or other waiting place at the discharge terminal, Seller shall cause the master or his representative to tender to Buyer or Buyer's representative by facsimile, telex or telegram NOR to discharge the Products.</w:t>
      </w:r>
    </w:p>
    <w:p>
      <w:pPr>
        <w:pStyle w:val="Normal"/>
        <w:jc w:val="both"/>
        <w:rPr/>
      </w:pPr>
      <w:r>
        <w:rPr>
          <w:rFonts w:cs="Arial" w:ascii="Arial" w:hAnsi="Arial"/>
          <w:sz w:val="20"/>
        </w:rPr>
        <w:t>21.2</w:t>
        <w:tab/>
        <w:t>Laytime shall commence at six (6) running hours after NOR is tendered at the discharge terminal, or upon the vessel's arrival in berth (</w:t>
      </w:r>
      <w:r>
        <w:rPr>
          <w:rFonts w:cs="Arial" w:ascii="Arial" w:hAnsi="Arial"/>
          <w:i/>
          <w:sz w:val="20"/>
        </w:rPr>
        <w:t>i.e</w:t>
      </w:r>
      <w:r>
        <w:rPr>
          <w:rFonts w:cs="Arial" w:ascii="Arial" w:hAnsi="Arial"/>
          <w:sz w:val="20"/>
        </w:rPr>
        <w:t>. finished mooring when at a sealoading terminal and all fast when loading alongside a wharf), whichever first occurs.</w:t>
      </w:r>
    </w:p>
    <w:p>
      <w:pPr>
        <w:pStyle w:val="Normal"/>
        <w:jc w:val="both"/>
        <w:rPr>
          <w:rFonts w:ascii="Arial" w:hAnsi="Arial" w:cs="Arial"/>
          <w:sz w:val="20"/>
        </w:rPr>
      </w:pPr>
      <w:r>
        <w:rPr>
          <w:rFonts w:cs="Arial" w:ascii="Arial" w:hAnsi="Arial"/>
          <w:sz w:val="20"/>
        </w:rPr>
        <w:t>21.3</w:t>
        <w:tab/>
        <w:t>Laytime allowed to Buyer for discharging each cargo shall be thirty-six (36) hours for discharging a full cargo and pro-rata thereof for part cargoes, Sundays, holidays and nights included.</w:t>
      </w:r>
    </w:p>
    <w:p>
      <w:pPr>
        <w:pStyle w:val="Normal"/>
        <w:jc w:val="both"/>
        <w:rPr>
          <w:rFonts w:ascii="Arial" w:hAnsi="Arial" w:cs="Arial"/>
          <w:sz w:val="20"/>
        </w:rPr>
      </w:pPr>
      <w:r>
        <w:rPr>
          <w:rFonts w:cs="Arial" w:ascii="Arial" w:hAnsi="Arial"/>
          <w:sz w:val="20"/>
        </w:rPr>
        <w:t>21.4</w:t>
        <w:tab/>
        <w:t xml:space="preserve">Discharge of the cargo shall be continuous. Any time consumed for the purpose of clearing shore pipe lines of cargo after discharging by arranging for the vessel to pump water through them shall count as used laytime or, if the vessel is already on demurrage, as time on demurrage. Laytime shall cease upon disconnection of the delivery hoses from the vessel once discharge and shore pipe line clearing, if applicable, is complete. </w:t>
      </w:r>
    </w:p>
    <w:p>
      <w:pPr>
        <w:pStyle w:val="Normal"/>
        <w:jc w:val="both"/>
        <w:rPr>
          <w:rFonts w:ascii="Arial" w:hAnsi="Arial" w:cs="Arial"/>
          <w:sz w:val="20"/>
        </w:rPr>
      </w:pPr>
      <w:r>
        <w:rPr>
          <w:rFonts w:cs="Arial" w:ascii="Arial" w:hAnsi="Arial"/>
          <w:sz w:val="20"/>
        </w:rPr>
        <w:t>21.5</w:t>
        <w:tab/>
        <w:t>In the event of lightering undertaken at the request of Buyer all time used in connection with lightering operations (such time shall commence when the vessel arrives at the lightering site designated by Buyer and shall end when the cargo hoses have been disconnected from the last cargo receiving vessel) shall count as used laytime, or, if the vessel is on demurrage, as time on demurrage.</w:t>
      </w:r>
    </w:p>
    <w:p>
      <w:pPr>
        <w:pStyle w:val="Normal"/>
        <w:jc w:val="both"/>
        <w:rPr>
          <w:rFonts w:ascii="Arial" w:hAnsi="Arial" w:cs="Arial"/>
          <w:sz w:val="20"/>
        </w:rPr>
      </w:pPr>
      <w:r>
        <w:rPr>
          <w:rFonts w:cs="Arial" w:ascii="Arial" w:hAnsi="Arial"/>
          <w:sz w:val="20"/>
        </w:rPr>
        <w:t>21.6</w:t>
        <w:tab/>
        <w:t>Subject to Sections 6.7 and 6.8 and to any provision to the contrary agreed by the Parties or agreed under the nomination procedure, for all time used in excess of the allowed laytime set out herein, Buyer shall pay demurrage to Seller per running hour and pro rata for portions thereof at the demurrage rate and in the currency specified in the charter party.</w:t>
      </w:r>
    </w:p>
    <w:p>
      <w:pPr>
        <w:pStyle w:val="Normal"/>
        <w:jc w:val="both"/>
        <w:rPr>
          <w:rFonts w:ascii="Arial" w:hAnsi="Arial" w:cs="Arial"/>
          <w:sz w:val="20"/>
        </w:rPr>
      </w:pPr>
      <w:r>
        <w:rPr>
          <w:rFonts w:cs="Arial" w:ascii="Arial" w:hAnsi="Arial"/>
          <w:sz w:val="20"/>
        </w:rPr>
        <w:t>21.7</w:t>
        <w:tab/>
        <w:t>Seller's right to demurrage (as set out herein) is a genuine pre-estimate of Seller's damages in respect of any failure by Buyer to complete the discharge within the allowed laytime. It is agreed that Buyer's obligation as to laytime and liability as to demurrage shall be absolute and not subject to qualification by the Force Majeure provisions of Section 6. However, if Buyer incurs liability for demurrage at the discharge terminal by reason of fire, storm, explosion, strike, lockout, stoppage or restraint of labour or by breakdown of machinery or equipment in or about the receiving facilities of Buyer or its consignee at the discharge terminal (but only to the extent that such conditions were not caused by the act or omission of Buyer, its consignee or the discharge terminal, and if vessel is not already on demurrage), such demurrage shall be paid at one-half the applicable rate as provided in Section 6.6.</w:t>
      </w:r>
    </w:p>
    <w:p>
      <w:pPr>
        <w:pStyle w:val="Normal"/>
        <w:jc w:val="both"/>
        <w:rPr>
          <w:rFonts w:ascii="Arial" w:hAnsi="Arial" w:cs="Arial"/>
          <w:sz w:val="20"/>
        </w:rPr>
      </w:pPr>
      <w:r>
        <w:rPr>
          <w:rFonts w:cs="Arial" w:ascii="Arial" w:hAnsi="Arial"/>
          <w:sz w:val="20"/>
        </w:rPr>
        <w:t>21.8</w:t>
        <w:tab/>
        <w:t>Buyer shall pay Seller demurrage no later than thirty (30) days after receipt of Seller's invoice supported by appropriate documentation. In the event that Buyer fails to pay within thirty (30) days, Buyer shall pay interest on the overdue payment at the rate set out in Section 2.9.</w:t>
      </w:r>
    </w:p>
    <w:p>
      <w:pPr>
        <w:pStyle w:val="Normal"/>
        <w:jc w:val="both"/>
        <w:rPr>
          <w:rFonts w:ascii="Arial" w:hAnsi="Arial" w:cs="Arial"/>
          <w:b/>
          <w:sz w:val="20"/>
        </w:rPr>
      </w:pPr>
      <w:r>
        <w:rPr>
          <w:rFonts w:cs="Arial" w:ascii="Arial" w:hAnsi="Arial"/>
          <w:b/>
          <w:sz w:val="20"/>
        </w:rPr>
        <w:t>22.</w:t>
        <w:tab/>
        <w:t>Charter Party Conditions and Insurance</w:t>
      </w:r>
    </w:p>
    <w:p>
      <w:pPr>
        <w:pStyle w:val="Normal"/>
        <w:jc w:val="both"/>
        <w:rPr>
          <w:rFonts w:ascii="Arial" w:hAnsi="Arial" w:cs="Arial"/>
          <w:sz w:val="20"/>
        </w:rPr>
      </w:pPr>
      <w:r>
        <w:rPr>
          <w:rFonts w:cs="Arial" w:ascii="Arial" w:hAnsi="Arial"/>
          <w:sz w:val="20"/>
        </w:rPr>
        <w:t>22.1</w:t>
        <w:tab/>
        <w:t>Seller shall contract for carriage of the Products to Buyer at the agreed upon discharge terminal under bills of lading which may incorporate charter party conditions customarily used for the shipment of Products in bulk, and Buyer shall comply with the conditions of the charter party. If Buyer so requests, Seller shall provide a copy of the charter party terms and conditions to Buyer.</w:t>
      </w:r>
    </w:p>
    <w:p>
      <w:pPr>
        <w:pStyle w:val="Normal"/>
        <w:jc w:val="both"/>
        <w:rPr/>
      </w:pPr>
      <w:r>
        <w:rPr>
          <w:rFonts w:cs="Arial" w:ascii="Arial" w:hAnsi="Arial"/>
          <w:sz w:val="20"/>
        </w:rPr>
        <w:t>22.2</w:t>
        <w:tab/>
        <w:t>In the case of sales on a Cost and Freight ("</w:t>
      </w:r>
      <w:r>
        <w:rPr>
          <w:rFonts w:cs="Arial" w:ascii="Arial" w:hAnsi="Arial"/>
          <w:b/>
          <w:sz w:val="20"/>
        </w:rPr>
        <w:t>CFR</w:t>
      </w:r>
      <w:r>
        <w:rPr>
          <w:rFonts w:cs="Arial" w:ascii="Arial" w:hAnsi="Arial"/>
          <w:sz w:val="20"/>
        </w:rPr>
        <w:t>") basis, Buyer shall be solely responsible for obtaining and paying for insurance, whether against marine, pollution, war or other risks. Seller shall not be required, unless specifically requested by Buyer in writing, to give any notice to Buyer regarding the route to be taken or other information to enable Buyer to insure the Products during their transit. Section 32(3) of the Sale of Goods Act 1979 shall not apply. The absence of such notice or information shall not subject Seller to any liability relating to the Products.</w:t>
      </w:r>
    </w:p>
    <w:p>
      <w:pPr>
        <w:pStyle w:val="Normal"/>
        <w:jc w:val="both"/>
        <w:rPr/>
      </w:pPr>
      <w:r>
        <w:rPr>
          <w:rFonts w:cs="Arial" w:ascii="Arial" w:hAnsi="Arial"/>
          <w:sz w:val="20"/>
        </w:rPr>
        <w:t>22.3</w:t>
        <w:tab/>
        <w:t>In the case of sales on a Cost, Insurance and Freight ("</w:t>
      </w:r>
      <w:r>
        <w:rPr>
          <w:rFonts w:cs="Arial" w:ascii="Arial" w:hAnsi="Arial"/>
          <w:b/>
          <w:sz w:val="20"/>
        </w:rPr>
        <w:t>CIF</w:t>
      </w:r>
      <w:r>
        <w:rPr>
          <w:rFonts w:cs="Arial" w:ascii="Arial" w:hAnsi="Arial"/>
          <w:sz w:val="20"/>
        </w:rPr>
        <w:t>") basis, Seller shall procure and pay for insurance, as specified in Section 22.4 below, in the same currency as the price to the full contract price (or expected contract price) of the cargo. Such insurance shall be in force from the time as from which the Products are at Buyer's risk (</w:t>
      </w:r>
      <w:r>
        <w:rPr>
          <w:rFonts w:cs="Arial" w:ascii="Arial" w:hAnsi="Arial"/>
          <w:i/>
          <w:sz w:val="20"/>
        </w:rPr>
        <w:t xml:space="preserve">i.e., </w:t>
      </w:r>
      <w:r>
        <w:rPr>
          <w:rFonts w:cs="Arial" w:ascii="Arial" w:hAnsi="Arial"/>
          <w:sz w:val="20"/>
        </w:rPr>
        <w:t>when the Products pass the flange connection between the delivery hose and the permanent hose connection of the vessel at the loading terminal) until the Products pass the flange connection between the vessel's discharge manifolds and the receiving hose at the discharge terminal. Shortage and contamination shall be covered by insurance only to the extent that the cause thereof can be explained specifically.</w:t>
      </w:r>
    </w:p>
    <w:p>
      <w:pPr>
        <w:pStyle w:val="Normal"/>
        <w:jc w:val="both"/>
        <w:rPr>
          <w:rFonts w:ascii="Arial" w:hAnsi="Arial" w:cs="Arial"/>
          <w:sz w:val="20"/>
        </w:rPr>
      </w:pPr>
      <w:r>
        <w:rPr>
          <w:rFonts w:cs="Arial" w:ascii="Arial" w:hAnsi="Arial"/>
          <w:sz w:val="20"/>
        </w:rPr>
        <w:t>22.4</w:t>
        <w:tab/>
        <w:t>The insurance procured by Seller pursuant to Section 22.3 shall be as per category A of the Institute Cargo Clauses (Institute of London Underwriters) with a deductible of 0.5% for leakage and shortage. Insurance coverage shall be furnished to Buyer in a form, and by insurers, acceptable to Buyer, and such acceptance shall not be unreasonably withheld or delayed. When requested to do so, upon adequate prior notice, Seller shall provide Buyer with a negotiable insurance certificate as soon as reasonably practicable after completion of loading.</w:t>
      </w:r>
    </w:p>
    <w:p>
      <w:pPr>
        <w:pStyle w:val="Normal"/>
        <w:jc w:val="both"/>
        <w:rPr>
          <w:rFonts w:ascii="Arial" w:hAnsi="Arial" w:cs="Arial"/>
          <w:sz w:val="20"/>
        </w:rPr>
      </w:pPr>
      <w:r>
        <w:rPr>
          <w:rFonts w:cs="Arial" w:ascii="Arial" w:hAnsi="Arial"/>
          <w:sz w:val="20"/>
        </w:rPr>
        <w:t>22.5</w:t>
        <w:tab/>
        <w:t>If and to the extent that any voyages to any discharge terminals or through any sea areas which any vessels have to travel in performance of a Transaction attracts or requires war risk insurance premiums and/or crew war bonuses or any other bonuses in excess of those prevailing at the date of the charter party and/or at the date a Transaction is entered into, the cost of such excess premiums and/or bonuses relating to each delivery of Products to Buyer shall be paid by Buyer to Seller in addition to any other amounts payable under a Transaction.</w:t>
      </w:r>
    </w:p>
    <w:p>
      <w:pPr>
        <w:pStyle w:val="Normal"/>
        <w:jc w:val="both"/>
        <w:rPr>
          <w:rFonts w:ascii="Arial" w:hAnsi="Arial" w:cs="Arial"/>
          <w:sz w:val="20"/>
        </w:rPr>
      </w:pPr>
      <w:r>
        <w:rPr>
          <w:rFonts w:cs="Arial" w:ascii="Arial" w:hAnsi="Arial"/>
          <w:sz w:val="20"/>
        </w:rPr>
        <w:t> </w:t>
      </w:r>
    </w:p>
    <w:p>
      <w:pPr>
        <w:pStyle w:val="Normal"/>
        <w:jc w:val="center"/>
        <w:rPr>
          <w:rFonts w:ascii="Arial" w:hAnsi="Arial" w:cs="Arial"/>
          <w:b/>
          <w:sz w:val="20"/>
        </w:rPr>
      </w:pPr>
      <w:bookmarkStart w:id="0" w:name="DocRefNewStart"/>
      <w:bookmarkEnd w:id="0"/>
      <w:r>
        <w:rPr>
          <w:rFonts w:cs="Arial" w:ascii="Arial" w:hAnsi="Arial"/>
          <w:b/>
          <w:sz w:val="20"/>
        </w:rPr>
        <w:t>THE SCHEDULE</w:t>
      </w:r>
    </w:p>
    <w:p>
      <w:pPr>
        <w:pStyle w:val="Normal"/>
        <w:jc w:val="center"/>
        <w:rPr>
          <w:rFonts w:ascii="Arial" w:hAnsi="Arial" w:cs="Arial"/>
          <w:b/>
          <w:sz w:val="20"/>
        </w:rPr>
      </w:pPr>
      <w:r>
        <w:rPr>
          <w:rFonts w:cs="Arial" w:ascii="Arial" w:hAnsi="Arial"/>
          <w:b/>
          <w:sz w:val="20"/>
        </w:rPr>
        <w:t>FORM OF LETTER OF INDEMNITY</w:t>
      </w:r>
    </w:p>
    <w:p>
      <w:pPr>
        <w:pStyle w:val="Normal"/>
        <w:jc w:val="both"/>
        <w:rPr>
          <w:rFonts w:ascii="Arial" w:hAnsi="Arial" w:cs="Arial"/>
          <w:sz w:val="20"/>
        </w:rPr>
      </w:pPr>
      <w:r>
        <w:rPr>
          <w:rFonts w:cs="Arial" w:ascii="Arial" w:hAnsi="Arial"/>
          <w:sz w:val="20"/>
        </w:rPr>
        <w:t>To:</w:t>
        <w:tab/>
        <w:t>[Buyer]</w:t>
        <w:br/>
        <w:t>[Address:]</w:t>
      </w:r>
    </w:p>
    <w:p>
      <w:pPr>
        <w:pStyle w:val="Normal"/>
        <w:jc w:val="both"/>
        <w:rPr>
          <w:rFonts w:ascii="Arial" w:hAnsi="Arial" w:cs="Arial"/>
          <w:sz w:val="20"/>
        </w:rPr>
      </w:pPr>
      <w:r>
        <w:rPr>
          <w:rFonts w:cs="Arial" w:ascii="Arial" w:hAnsi="Arial"/>
          <w:sz w:val="20"/>
        </w:rPr>
        <w:t>Dear Sirs</w:t>
      </w:r>
    </w:p>
    <w:p>
      <w:pPr>
        <w:pStyle w:val="Normal"/>
        <w:jc w:val="both"/>
        <w:rPr/>
      </w:pPr>
      <w:r>
        <w:rPr>
          <w:rFonts w:cs="Arial" w:ascii="Arial" w:hAnsi="Arial"/>
          <w:sz w:val="20"/>
        </w:rPr>
        <w:t>We refer to our agreement (the "</w:t>
      </w:r>
      <w:r>
        <w:rPr>
          <w:rFonts w:cs="Arial" w:ascii="Arial" w:hAnsi="Arial"/>
          <w:b/>
          <w:sz w:val="20"/>
        </w:rPr>
        <w:t>Transaction</w:t>
      </w:r>
      <w:r>
        <w:rPr>
          <w:rFonts w:cs="Arial" w:ascii="Arial" w:hAnsi="Arial"/>
          <w:sz w:val="20"/>
        </w:rPr>
        <w:t>") to sell to you a shipment of [             ] net [US barrels/gallons/tons][metric tonnes] of [                  ] (the "</w:t>
      </w:r>
      <w:r>
        <w:rPr>
          <w:rFonts w:cs="Arial" w:ascii="Arial" w:hAnsi="Arial"/>
          <w:b/>
          <w:sz w:val="20"/>
        </w:rPr>
        <w:t>Products</w:t>
      </w:r>
      <w:r>
        <w:rPr>
          <w:rFonts w:cs="Arial" w:ascii="Arial" w:hAnsi="Arial"/>
          <w:sz w:val="20"/>
        </w:rPr>
        <w:t>") shipped on board the vessel [                 ] at the port of [                 ] with bill of lading dated [                 ], 199[ ].</w:t>
      </w:r>
    </w:p>
    <w:p>
      <w:pPr>
        <w:pStyle w:val="Normal"/>
        <w:jc w:val="both"/>
        <w:rPr/>
      </w:pPr>
      <w:r>
        <w:rPr>
          <w:rFonts w:cs="Arial" w:ascii="Arial" w:hAnsi="Arial"/>
          <w:sz w:val="20"/>
        </w:rPr>
        <w:t>To date we are unable to provide you with the requisite shipping document(s) in relation to the said sale [    ], which consist of [                     ] (the "</w:t>
      </w:r>
      <w:r>
        <w:rPr>
          <w:rFonts w:cs="Arial" w:ascii="Arial" w:hAnsi="Arial"/>
          <w:b/>
          <w:sz w:val="20"/>
        </w:rPr>
        <w:t>Documents</w:t>
      </w:r>
      <w:r>
        <w:rPr>
          <w:rFonts w:cs="Arial" w:ascii="Arial" w:hAnsi="Arial"/>
          <w:sz w:val="20"/>
        </w:rPr>
        <w:t>").</w:t>
      </w:r>
    </w:p>
    <w:p>
      <w:pPr>
        <w:pStyle w:val="Normal"/>
        <w:jc w:val="both"/>
        <w:rPr/>
      </w:pPr>
      <w:r>
        <w:rPr>
          <w:rFonts w:cs="Arial" w:ascii="Arial" w:hAnsi="Arial"/>
          <w:sz w:val="20"/>
        </w:rPr>
        <w:t xml:space="preserve">In consideration of your agreeing to pay us, and effecting due payment of, the full sale price of </w:t>
      </w:r>
      <w:r>
        <w:rPr>
          <w:rFonts w:cs="Arial" w:ascii="Arial" w:hAnsi="Arial"/>
          <w:b/>
          <w:sz w:val="20"/>
        </w:rPr>
        <w:t>(currency</w:t>
      </w:r>
      <w:r>
        <w:rPr>
          <w:rFonts w:cs="Arial" w:ascii="Arial" w:hAnsi="Arial"/>
          <w:sz w:val="20"/>
        </w:rPr>
        <w:t>) [              ] at the due date for payment without presentation of the requisite shipping documents, we hereby expressly warrant that we had good title to the Products; that the property in the Products has passed to you as provided in the Transaction, free and clear of any charge or encumbrance not disclosed or known to you before the Transaction was made; and that we are entitled to receive the Documents from our supplier and transfer them to you.</w:t>
      </w:r>
    </w:p>
    <w:p>
      <w:pPr>
        <w:pStyle w:val="Normal"/>
        <w:jc w:val="both"/>
        <w:rPr>
          <w:rFonts w:ascii="Arial" w:hAnsi="Arial" w:cs="Arial"/>
          <w:sz w:val="20"/>
        </w:rPr>
      </w:pPr>
      <w:r>
        <w:rPr>
          <w:rFonts w:cs="Arial" w:ascii="Arial" w:hAnsi="Arial"/>
          <w:sz w:val="20"/>
        </w:rPr>
        <w:t>We further agree that we shall use all reasonable efforts to obtain and surrender the Documents to you as soon as reasonably practicable and to protect, indemnify and save you harmless from and against any and all damages, costs and expenses (including reasonable legal fees) which you may suffer or incur by reason of our failure to present the Documents to you or breach by us of any of the warranties given above including, but without prejudice to the generality of the foregoing, any claims and demands which may be made by a holder or transferee of the original Documents, or by any third party claiming an interest in or lien on the Products or the proceeds thereof, provided always that you give us prompt notice of the assertion of any such claim or demand against you and the opportunity to join in the defence thereof.</w:t>
      </w:r>
    </w:p>
    <w:p>
      <w:pPr>
        <w:pStyle w:val="Normal"/>
        <w:jc w:val="both"/>
        <w:rPr>
          <w:rFonts w:ascii="Arial" w:hAnsi="Arial" w:cs="Arial"/>
          <w:sz w:val="20"/>
        </w:rPr>
      </w:pPr>
      <w:r>
        <w:rPr>
          <w:rFonts w:cs="Arial" w:ascii="Arial" w:hAnsi="Arial"/>
          <w:sz w:val="20"/>
        </w:rPr>
        <w:t>This Letter of Indemnity shall be governed by and construed in accordance with the laws of England, to the exclusion of any other legal system and excluding any conflict of law rules that may direct the application of the laws of another jurisdiction. You and we have agreed that all disputes arising out of this Letter of Indemnity (including without limitation any question regarding its existence, validity or termination) shall be referred to and finally resolved by arbitration, before a single arbitrator, conducted in the English language in London under the rules of arbitration of the London Court of International Arbitration, which rules are deemed to be incorporated by reference into this Letter of Indemnity.</w:t>
      </w:r>
    </w:p>
    <w:p>
      <w:pPr>
        <w:pStyle w:val="Normal"/>
        <w:jc w:val="both"/>
        <w:rPr>
          <w:rFonts w:ascii="Arial" w:hAnsi="Arial" w:cs="Arial"/>
          <w:sz w:val="20"/>
        </w:rPr>
      </w:pPr>
      <w:r>
        <w:rPr>
          <w:rFonts w:cs="Arial" w:ascii="Arial" w:hAnsi="Arial"/>
          <w:sz w:val="20"/>
        </w:rPr>
        <w:t>The validity of this Letter of Indemnity shall expire upon our presentation to you of the Documents in exchange for which you agree to return to us forthwith any signed original hereof and confirm by return telex or telecopy cancellation of the telex or telecopy version of this Letter of Indemnity or (if earlier) after the expiry of 13 months from the date of the bill of lading.</w:t>
      </w:r>
    </w:p>
    <w:p>
      <w:pPr>
        <w:pStyle w:val="Normal"/>
        <w:jc w:val="both"/>
        <w:rPr>
          <w:rFonts w:ascii="Arial" w:hAnsi="Arial" w:cs="Arial"/>
          <w:sz w:val="20"/>
        </w:rPr>
      </w:pPr>
      <w:r>
        <w:rPr>
          <w:rFonts w:cs="Arial" w:ascii="Arial" w:hAnsi="Arial"/>
          <w:sz w:val="20"/>
        </w:rPr>
        <w:t>Yours faithfully</w:t>
      </w:r>
    </w:p>
    <w:p>
      <w:pPr>
        <w:pStyle w:val="Normal"/>
        <w:jc w:val="both"/>
        <w:rPr>
          <w:rFonts w:ascii="Arial" w:hAnsi="Arial" w:cs="Arial"/>
          <w:sz w:val="20"/>
        </w:rPr>
      </w:pPr>
      <w:r>
        <w:rPr>
          <w:rFonts w:cs="Arial" w:ascii="Arial" w:hAnsi="Arial"/>
          <w:sz w:val="20"/>
        </w:rPr>
        <w:t>[Seller]</w:t>
      </w:r>
    </w:p>
    <w:p>
      <w:pPr>
        <w:pStyle w:val="Normal"/>
        <w:jc w:val="both"/>
        <w:rPr>
          <w:rFonts w:ascii="Arial" w:hAnsi="Arial" w:cs="Arial"/>
          <w:sz w:val="20"/>
        </w:rPr>
      </w:pPr>
      <w:r>
        <w:rPr>
          <w:rFonts w:cs="Arial" w:ascii="Arial" w:hAnsi="Arial"/>
          <w:sz w:val="20"/>
        </w:rPr>
        <w:t>By:</w:t>
      </w:r>
    </w:p>
    <w:p>
      <w:pPr>
        <w:pStyle w:val="Normal"/>
        <w:spacing w:before="100" w:after="100"/>
        <w:jc w:val="both"/>
        <w:rPr>
          <w:rFonts w:ascii="Arial" w:hAnsi="Arial" w:cs="Arial"/>
          <w:sz w:val="20"/>
        </w:rPr>
      </w:pPr>
      <w:r>
        <w:rPr>
          <w:rFonts w:cs="Arial" w:ascii="Arial" w:hAnsi="Arial"/>
          <w:sz w:val="20"/>
        </w:rPr>
        <w:t>Address of Seller:</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000000"/>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color w:val="auto"/>
    </w:rPr>
  </w:style>
  <w:style w:type="paragraph" w:styleId="DefinitionList">
    <w:name w:val="Definition List"/>
    <w:basedOn w:val="Normal"/>
    <w:next w:val="DefinitionTerm"/>
    <w:qFormat/>
    <w:pPr>
      <w:spacing w:before="0" w:after="0"/>
      <w:ind w:hanging="0" w:start="360" w:end="0"/>
    </w:pPr>
    <w:rPr>
      <w:color w:val="auto"/>
    </w:rPr>
  </w:style>
  <w:style w:type="paragraph" w:styleId="H1">
    <w:name w:val="H1"/>
    <w:basedOn w:val="Normal"/>
    <w:next w:val="Normal"/>
    <w:qFormat/>
    <w:pPr>
      <w:keepNext w:val="true"/>
      <w:outlineLvl w:val="1"/>
    </w:pPr>
    <w:rPr>
      <w:b/>
      <w:color w:val="auto"/>
      <w:kern w:val="2"/>
      <w:sz w:val="48"/>
    </w:rPr>
  </w:style>
  <w:style w:type="paragraph" w:styleId="H2">
    <w:name w:val="H2"/>
    <w:basedOn w:val="Normal"/>
    <w:next w:val="Normal"/>
    <w:qFormat/>
    <w:pPr>
      <w:keepNext w:val="true"/>
      <w:outlineLvl w:val="2"/>
    </w:pPr>
    <w:rPr>
      <w:b/>
      <w:color w:val="auto"/>
      <w:sz w:val="36"/>
    </w:rPr>
  </w:style>
  <w:style w:type="paragraph" w:styleId="H3">
    <w:name w:val="H3"/>
    <w:basedOn w:val="Normal"/>
    <w:next w:val="Normal"/>
    <w:qFormat/>
    <w:pPr>
      <w:keepNext w:val="true"/>
      <w:outlineLvl w:val="3"/>
    </w:pPr>
    <w:rPr>
      <w:b/>
      <w:color w:val="auto"/>
      <w:sz w:val="28"/>
    </w:rPr>
  </w:style>
  <w:style w:type="paragraph" w:styleId="H4">
    <w:name w:val="H4"/>
    <w:basedOn w:val="Normal"/>
    <w:next w:val="Normal"/>
    <w:qFormat/>
    <w:pPr>
      <w:keepNext w:val="true"/>
      <w:outlineLvl w:val="4"/>
    </w:pPr>
    <w:rPr>
      <w:b/>
      <w:color w:val="auto"/>
    </w:rPr>
  </w:style>
  <w:style w:type="paragraph" w:styleId="H5">
    <w:name w:val="H5"/>
    <w:basedOn w:val="Normal"/>
    <w:next w:val="Normal"/>
    <w:qFormat/>
    <w:pPr>
      <w:keepNext w:val="true"/>
      <w:outlineLvl w:val="5"/>
    </w:pPr>
    <w:rPr>
      <w:b/>
      <w:color w:val="auto"/>
      <w:sz w:val="20"/>
    </w:rPr>
  </w:style>
  <w:style w:type="paragraph" w:styleId="H6">
    <w:name w:val="H6"/>
    <w:basedOn w:val="Normal"/>
    <w:next w:val="Normal"/>
    <w:qFormat/>
    <w:pPr>
      <w:keepNext w:val="true"/>
      <w:outlineLvl w:val="6"/>
    </w:pPr>
    <w:rPr>
      <w:b/>
      <w:color w:val="auto"/>
      <w:sz w:val="16"/>
    </w:rPr>
  </w:style>
  <w:style w:type="paragraph" w:styleId="Address">
    <w:name w:val="Address"/>
    <w:basedOn w:val="Normal"/>
    <w:next w:val="Normal"/>
    <w:qFormat/>
    <w:pPr>
      <w:spacing w:before="0" w:after="0"/>
    </w:pPr>
    <w:rPr>
      <w:i/>
      <w:color w:val="auto"/>
    </w:rPr>
  </w:style>
  <w:style w:type="paragraph" w:styleId="Blockquote">
    <w:name w:val="Blockquote"/>
    <w:basedOn w:val="Normal"/>
    <w:qFormat/>
    <w:pPr>
      <w:ind w:hanging="0" w:start="360" w:end="360"/>
    </w:pPr>
    <w:rPr>
      <w:color w:val="auto"/>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color w:val="auto"/>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1999-09-03T14:13:00Z</dcterms:created>
  <dc:creator>NEdmonds</dc:creator>
  <dc:description/>
  <dc:language>en-CA</dc:language>
  <cp:lastModifiedBy>NEdmonds</cp:lastModifiedBy>
  <dcterms:modified xsi:type="dcterms:W3CDTF">1999-09-03T14:13:00Z</dcterms:modified>
  <cp:revision>2</cp:revision>
  <dc:subject/>
  <dc:title>DRAFT: 15.1.96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