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ms Rmn" w:hAnsi="Tms Rmn" w:cs="Tms Rmn"/>
          <w:color w:val="000000"/>
          <w:sz w:val="24"/>
          <w:lang w:eastAsia="en-US"/>
        </w:rPr>
      </w:pPr>
      <w:r>
        <w:rPr>
          <w:rFonts w:cs="Tms Rmn" w:ascii="Tms Rmn" w:hAnsi="Tms Rmn"/>
          <w:color w:val="000000"/>
          <w:sz w:val="24"/>
          <w:lang w:eastAsia="en-US"/>
        </w:rPr>
      </w:r>
    </w:p>
    <w:p>
      <w:pPr>
        <w:pStyle w:val="Normal"/>
        <w:jc w:val="center"/>
        <w:rPr>
          <w:rFonts w:ascii="Tms Rmn" w:hAnsi="Tms Rmn" w:cs="Tms Rmn"/>
          <w:b/>
          <w:color w:val="000000"/>
          <w:sz w:val="24"/>
          <w:lang w:eastAsia="en-US"/>
        </w:rPr>
      </w:pPr>
      <w:r>
        <w:rPr>
          <w:rFonts w:cs="Tms Rmn" w:ascii="Tms Rmn" w:hAnsi="Tms Rmn"/>
          <w:b/>
          <w:color w:val="000000"/>
          <w:sz w:val="24"/>
          <w:lang w:eastAsia="en-US"/>
        </w:rPr>
        <w:t>Draft</w:t>
      </w:r>
    </w:p>
    <w:p>
      <w:pPr>
        <w:pStyle w:val="Normal"/>
        <w:rPr>
          <w:rFonts w:ascii="Tms Rmn" w:hAnsi="Tms Rmn" w:cs="Tms Rmn"/>
          <w:b/>
          <w:color w:val="000000"/>
          <w:sz w:val="24"/>
          <w:lang w:eastAsia="en-US"/>
        </w:rPr>
      </w:pPr>
      <w:r>
        <w:rPr>
          <w:rFonts w:cs="Tms Rmn" w:ascii="Tms Rmn" w:hAnsi="Tms Rmn"/>
          <w:b/>
          <w:color w:val="000000"/>
          <w:sz w:val="24"/>
          <w:lang w:eastAsia="en-US"/>
        </w:rPr>
      </w:r>
    </w:p>
    <w:p>
      <w:pPr>
        <w:pStyle w:val="Normal"/>
        <w:rPr>
          <w:rFonts w:ascii="Tms Rmn" w:hAnsi="Tms Rmn" w:cs="Tms Rmn"/>
          <w:color w:val="000000"/>
          <w:sz w:val="24"/>
          <w:lang w:eastAsia="en-US"/>
        </w:rPr>
      </w:pPr>
      <w:r>
        <w:rPr>
          <w:rFonts w:cs="Tms Rmn" w:ascii="Tms Rmn" w:hAnsi="Tms Rmn"/>
          <w:color w:val="000000"/>
          <w:sz w:val="24"/>
          <w:lang w:eastAsia="en-US"/>
        </w:rPr>
        <w:t>Enron’s wholesale businesses in North America and Europe have experienced tremendous growth as evidenced by our 1999 results and the first two quarters of 2000.  In 1999, this record growth included a 36% increase in income before interest and taxes, and a 19% increase in total deliveries of energy commodities.   For the first two quarters of 2000, this growth has continued with a 57% increase in natural gas volumes and a 36% increase in physical power volumes.</w:t>
      </w:r>
    </w:p>
    <w:p>
      <w:pPr>
        <w:pStyle w:val="Normal"/>
        <w:rPr>
          <w:rFonts w:ascii="Tms Rmn" w:hAnsi="Tms Rmn" w:cs="Tms Rmn"/>
          <w:color w:val="000000"/>
          <w:sz w:val="24"/>
          <w:lang w:eastAsia="en-US"/>
        </w:rPr>
      </w:pPr>
      <w:r>
        <w:rPr>
          <w:rFonts w:cs="Tms Rmn" w:ascii="Tms Rmn" w:hAnsi="Tms Rmn"/>
          <w:color w:val="000000"/>
          <w:sz w:val="24"/>
          <w:lang w:eastAsia="en-US"/>
        </w:rPr>
      </w:r>
    </w:p>
    <w:p>
      <w:pPr>
        <w:pStyle w:val="Normal"/>
        <w:rPr>
          <w:rFonts w:ascii="Tms Rmn" w:hAnsi="Tms Rmn" w:cs="Tms Rmn"/>
          <w:color w:val="000000"/>
          <w:sz w:val="24"/>
          <w:lang w:eastAsia="en-US"/>
        </w:rPr>
      </w:pPr>
      <w:r>
        <w:rPr>
          <w:rFonts w:cs="Tms Rmn" w:ascii="Tms Rmn" w:hAnsi="Tms Rmn"/>
          <w:color w:val="000000"/>
          <w:sz w:val="24"/>
          <w:lang w:eastAsia="en-US"/>
        </w:rPr>
        <w:t>With a focus on continuing growth and adding momentum to all of our wholesale businesses, we need an increased focus on our developing markets.  Accordingly, we are creating a new and separate business unit within the Wholesale group under the direction of Mark Frevert, Chairman of Enron Europe and Chairman and CEO of Enron North America.</w:t>
      </w:r>
    </w:p>
    <w:p>
      <w:pPr>
        <w:pStyle w:val="Normal"/>
        <w:rPr>
          <w:rFonts w:ascii="Tms Rmn" w:hAnsi="Tms Rmn" w:cs="Tms Rmn"/>
          <w:color w:val="000000"/>
          <w:sz w:val="24"/>
          <w:lang w:eastAsia="en-US"/>
        </w:rPr>
      </w:pPr>
      <w:r>
        <w:rPr>
          <w:rFonts w:cs="Tms Rmn" w:ascii="Tms Rmn" w:hAnsi="Tms Rmn"/>
          <w:color w:val="000000"/>
          <w:sz w:val="24"/>
          <w:lang w:eastAsia="en-US"/>
        </w:rPr>
      </w:r>
    </w:p>
    <w:p>
      <w:pPr>
        <w:pStyle w:val="Normal"/>
        <w:rPr>
          <w:rFonts w:ascii="Tms Rmn" w:hAnsi="Tms Rmn" w:cs="Tms Rmn"/>
          <w:color w:val="000000"/>
          <w:sz w:val="24"/>
          <w:lang w:eastAsia="en-US"/>
        </w:rPr>
      </w:pPr>
      <w:r>
        <w:rPr>
          <w:rFonts w:cs="Tms Rmn" w:ascii="Tms Rmn" w:hAnsi="Tms Rmn"/>
          <w:color w:val="000000"/>
          <w:sz w:val="24"/>
          <w:lang w:eastAsia="en-US"/>
        </w:rPr>
        <w:t>Enron Global Markets has been created to focus on markets and commodities that are global in scope, but outside of natural gas and power.  We believe this new core business unit will have a greater ability to grow and tap into the enormous potential of these markets while allowing Enron North America and Europe to focus on natural gas and electricity related activities.</w:t>
      </w:r>
    </w:p>
    <w:p>
      <w:pPr>
        <w:pStyle w:val="Normal"/>
        <w:rPr>
          <w:rFonts w:ascii="Tms Rmn" w:hAnsi="Tms Rmn" w:cs="Tms Rmn"/>
          <w:color w:val="000000"/>
          <w:sz w:val="24"/>
          <w:lang w:eastAsia="en-US"/>
        </w:rPr>
      </w:pPr>
      <w:r>
        <w:rPr>
          <w:rFonts w:cs="Tms Rmn" w:ascii="Tms Rmn" w:hAnsi="Tms Rmn"/>
          <w:color w:val="000000"/>
          <w:sz w:val="24"/>
          <w:lang w:eastAsia="en-US"/>
        </w:rPr>
      </w:r>
    </w:p>
    <w:p>
      <w:pPr>
        <w:pStyle w:val="Normal"/>
        <w:jc w:val="both"/>
        <w:rPr>
          <w:sz w:val="24"/>
        </w:rPr>
      </w:pPr>
      <w:r>
        <w:rPr>
          <w:sz w:val="24"/>
        </w:rPr>
        <w:t>Included in this new business unit will be the existing ENA and EEL personnel of the following groups together with their leads: FX/Equities/interest rates - Gary Hickerson; Coal - George McClellan; Global Products -  John Nowlan;  Insurance and Weather -  Jere Overdyke. In addition, the new business will be responsible for developing our strategy in the global LNG market, as well as developing our emissions trading business.</w:t>
      </w:r>
    </w:p>
    <w:p>
      <w:pPr>
        <w:pStyle w:val="Normal"/>
        <w:jc w:val="both"/>
        <w:rPr>
          <w:sz w:val="24"/>
        </w:rPr>
      </w:pPr>
      <w:r>
        <w:rPr>
          <w:sz w:val="24"/>
        </w:rPr>
      </w:r>
    </w:p>
    <w:p>
      <w:pPr>
        <w:pStyle w:val="Normal"/>
        <w:jc w:val="both"/>
        <w:rPr>
          <w:sz w:val="24"/>
        </w:rPr>
      </w:pPr>
      <w:r>
        <w:rPr>
          <w:sz w:val="24"/>
        </w:rPr>
        <w:t>Enron Global Markets will be headed by Mike McConnell, President and Chief Executive Officer and Jeff Shankman, Chief Operating Officer.  These individuals will comprise the Office of the Chairman for Enron Global Markets.  Mike McConnell will remain on the Executive Committee of Enron Corp.  Mark Frevert will be Chairman, while retaining his current responsibilities for ENA and EEL.</w:t>
      </w:r>
    </w:p>
    <w:p>
      <w:pPr>
        <w:pStyle w:val="Normal"/>
        <w:jc w:val="both"/>
        <w:rPr>
          <w:sz w:val="24"/>
        </w:rPr>
      </w:pPr>
      <w:r>
        <w:rPr>
          <w:sz w:val="24"/>
        </w:rPr>
      </w:r>
    </w:p>
    <w:p>
      <w:pPr>
        <w:pStyle w:val="Normal"/>
        <w:jc w:val="both"/>
        <w:rPr/>
      </w:pPr>
      <w:r>
        <w:rPr>
          <w:sz w:val="24"/>
        </w:rPr>
        <w:t>Enron Net Works has also made changes in the organization.  Jeff McMahon will become, President and COO, Philippe Bibi, Chief Technology Officer and Louise Kitchen as Chief Commercial Officer.  Greg Whalley is Chairman and CEO</w:t>
      </w:r>
      <w:r>
        <w:rPr>
          <w:i/>
          <w:sz w:val="24"/>
        </w:rPr>
        <w:t xml:space="preserve">.  </w:t>
      </w:r>
      <w:r>
        <w:rPr>
          <w:sz w:val="24"/>
        </w:rPr>
        <w:t>These individuals will comprise the Office of the Chairman for Enron Net Works.</w:t>
      </w:r>
    </w:p>
    <w:p>
      <w:pPr>
        <w:pStyle w:val="Normal"/>
        <w:jc w:val="both"/>
        <w:rPr>
          <w:sz w:val="24"/>
        </w:rPr>
      </w:pPr>
      <w:r>
        <w:rPr>
          <w:sz w:val="24"/>
        </w:rPr>
      </w:r>
    </w:p>
    <w:p>
      <w:pPr>
        <w:pStyle w:val="Normal"/>
        <w:jc w:val="both"/>
        <w:rPr>
          <w:sz w:val="24"/>
        </w:rPr>
      </w:pPr>
      <w:r>
        <w:rPr>
          <w:sz w:val="24"/>
        </w:rPr>
        <w:t>Please join us in congratulating everyone on their new roles and responsibilities.</w:t>
      </w:r>
    </w:p>
    <w:p>
      <w:pPr>
        <w:pStyle w:val="Normal"/>
        <w:rPr>
          <w:sz w:val="24"/>
        </w:rPr>
      </w:pPr>
      <w:r>
        <w:rPr>
          <w:sz w:val="24"/>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2000-07-28T08:45:00Z</dcterms:created>
  <dc:creator>Eric William Thode</dc:creator>
  <dc:description/>
  <dc:language>en-CA</dc:language>
  <cp:lastModifiedBy>mmccon1</cp:lastModifiedBy>
  <dcterms:modified xsi:type="dcterms:W3CDTF">2000-07-28T09:11:00Z</dcterms:modified>
  <cp:revision>4</cp:revision>
  <dc:subject/>
  <dc:title>Enron’s wholesale businesses in North America and Europe have experienced tremendous growth</dc:title>
</cp:coreProperties>
</file>