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EGM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ENRON GLOBAL MARKETS LEGAL RISKS</w:t>
      </w:r>
    </w:p>
    <w:p>
      <w:pPr>
        <w:pStyle w:val="Header"/>
        <w:tabs>
          <w:tab w:val="clear" w:pos="4320"/>
          <w:tab w:val="clear" w:pos="8640"/>
          <w:tab w:val="right" w:pos="14670" w:leader="none"/>
        </w:tabs>
        <w:spacing w:before="0" w:after="60"/>
        <w:jc w:val="center"/>
        <w:rPr/>
      </w:pPr>
      <w:r>
        <w:rPr/>
        <w:t>(as of 2/23/01)</w:t>
      </w:r>
      <w:r>
        <w:br w:type="page"/>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pageBreakBefore/>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LNG Take-or-Pay Risk due to Dabhol IPP Counterparty Default             (D. Rogers)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spacing w:before="60" w:after="60"/>
              <w:rPr>
                <w:sz w:val="18"/>
              </w:rPr>
            </w:pPr>
            <w:r>
              <w:rPr>
                <w:sz w:val="18"/>
              </w:rPr>
              <w:t xml:space="preserve">Maharashtra State Electricity Board (MSEB), as offtaker under a PPA with Dabhol Power Company (DPC) (in which Enron holds a 50% interest), has consistently been in default of its payment obligations to DPC in connection with Phase I power generation due to a variety of economic and political factors.  </w:t>
            </w:r>
          </w:p>
          <w:p>
            <w:pPr>
              <w:pStyle w:val="FootnoteText"/>
              <w:numPr>
                <w:ilvl w:val="0"/>
                <w:numId w:val="5"/>
              </w:numPr>
              <w:spacing w:before="60" w:after="60"/>
              <w:rPr>
                <w:sz w:val="18"/>
              </w:rPr>
            </w:pPr>
            <w:r>
              <w:rPr>
                <w:sz w:val="18"/>
              </w:rPr>
              <w:t xml:space="preserve">Concern exists that upon commencement of Phase II, during which an additional 1400 MW of capacity goes onstream and fuel supply for all 2100 MW converts to LNG, MSEB may be long on power offtake obligations by as much as 700 MW or more and the pre-existing payment problems may be further exacerbated.  MSEB has asked DPC to consider delaying completion of the third power block (700 MW) for at least 4 years in order to help alleviate its problem. If this approach were taken, DPC would be long approx. 700 MMTA (after exercise of downward flexibility rights) on LNG fuel supply under firm take-or-pay purchase contracts.    </w:t>
            </w:r>
          </w:p>
          <w:p>
            <w:pPr>
              <w:pStyle w:val="FootnoteText"/>
              <w:numPr>
                <w:ilvl w:val="0"/>
                <w:numId w:val="5"/>
              </w:numPr>
              <w:spacing w:before="60" w:after="60"/>
              <w:rPr>
                <w:sz w:val="18"/>
              </w:rPr>
            </w:pPr>
            <w:r>
              <w:rPr>
                <w:sz w:val="18"/>
              </w:rPr>
              <w:t>Efforts are presently underway to (a) find alternate electricity buyers, (b) negotiate any necessary LNG fuel supply reductions, clarify and expand cargo diversion/resale rights, and (c) find alternate LNG buyers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$400+ million equity investment at risk, but State and Central Government guaranties are available to mitigate some of this risk.</w:t>
            </w:r>
          </w:p>
          <w:p>
            <w:pPr>
              <w:pStyle w:val="FootnoteText"/>
              <w:numPr>
                <w:ilvl w:val="0"/>
                <w:numId w:val="5"/>
              </w:numPr>
              <w:tabs>
                <w:tab w:val="clear" w:pos="720"/>
                <w:tab w:val="left" w:pos="252" w:leader="none"/>
              </w:tabs>
              <w:spacing w:before="60" w:after="60"/>
              <w:ind w:hanging="252" w:start="252" w:end="0"/>
              <w:rPr>
                <w:sz w:val="18"/>
              </w:rPr>
            </w:pPr>
            <w:r>
              <w:rPr>
                <w:sz w:val="18"/>
              </w:rPr>
              <w:t>LNG take-or-pay risk is difficult at this stage to quantify.  Assuming worst case of 700 MMTA of LNG oversupply, T-O-P exposure to DPC would be approx $150 million per year (after initial build-up period), exclusive of any diversion/mitigation sales.  This amount can be reduced significantly by agreed supply reductions and diversion/mitigation sales, subject to cooperation of LNG suppliers.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pPr>
            <w:r>
              <w:rPr>
                <w:sz w:val="18"/>
              </w:rPr>
              <w:t>Deliveries for which take-or-pay may attach are not expected to commence until 4</w:t>
            </w:r>
            <w:r>
              <w:rPr>
                <w:sz w:val="18"/>
                <w:vertAlign w:val="superscript"/>
              </w:rPr>
              <w:t>th</w:t>
            </w:r>
            <w:r>
              <w:rPr>
                <w:sz w:val="18"/>
              </w:rPr>
              <w:t xml:space="preserve"> quarter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sz w:val="18"/>
              </w:rPr>
              <w:t xml:space="preserve">  </w:t>
            </w: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Elba Island Terminal Capacity Charge Exposure due to Potential Non-Utilization</w:t>
            </w:r>
          </w:p>
        </w:tc>
        <w:tc>
          <w:tcPr>
            <w:tcW w:w="666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spacing w:before="60" w:after="60"/>
              <w:rPr>
                <w:sz w:val="18"/>
              </w:rPr>
            </w:pPr>
            <w:r>
              <w:rPr>
                <w:sz w:val="18"/>
              </w:rPr>
              <w:t xml:space="preserve">Enron LNG Marketing LLC (ELM) is a party to a settlement letter agreement with Southern LNG Inc. (SLNG) and El Paso Merchant Energy – Gas L.P. (El Paso) relating to a dispute over ELM’s failed Firm Terminal Services bid for access to SLNG’s Elba Island LNG Terminal in Georgia as an outlet for LNG sourced from Enron’s Venezuela LNG Project.  </w:t>
            </w:r>
          </w:p>
          <w:p>
            <w:pPr>
              <w:pStyle w:val="FootnoteText"/>
              <w:numPr>
                <w:ilvl w:val="0"/>
                <w:numId w:val="2"/>
              </w:numPr>
              <w:spacing w:before="60" w:after="60"/>
              <w:rPr>
                <w:sz w:val="18"/>
              </w:rPr>
            </w:pPr>
            <w:r>
              <w:rPr>
                <w:sz w:val="18"/>
              </w:rPr>
              <w:t xml:space="preserve">The settlement contains a binding Term Sheet setting forth ELM’s option for  17 years to put up to 58 bcf/yr. LNG equivalent to El Paso for delivery at SLNG’s terminal on 90 days’ advance notice.  Once delivery is notified by ELM, El Paso is obligated to take delivery, or pay for such LNG if not taken.  For this put right, ELM pays an effective annual “capacity charge” of $11 million to El Paso, which charge is credited toward actual LNG deliveries.  </w:t>
            </w:r>
          </w:p>
          <w:p>
            <w:pPr>
              <w:pStyle w:val="FootnoteText"/>
              <w:numPr>
                <w:ilvl w:val="0"/>
                <w:numId w:val="2"/>
              </w:numPr>
              <w:spacing w:before="60" w:after="60"/>
              <w:rPr>
                <w:sz w:val="18"/>
              </w:rPr>
            </w:pPr>
            <w:r>
              <w:rPr>
                <w:sz w:val="18"/>
              </w:rPr>
              <w:t>The settlement letter agreement contains binding purchase/sale obligations, but also contemplates the execution of definitive agreements that will supersede the letter agreement.  Negotiation of the definitive agreements is ongoing.</w:t>
            </w:r>
          </w:p>
          <w:p>
            <w:pPr>
              <w:pStyle w:val="FootnoteText"/>
              <w:numPr>
                <w:ilvl w:val="0"/>
                <w:numId w:val="2"/>
              </w:numPr>
              <w:spacing w:before="60" w:after="60"/>
              <w:rPr>
                <w:sz w:val="18"/>
              </w:rPr>
            </w:pPr>
            <w:r>
              <w:rPr>
                <w:sz w:val="18"/>
              </w:rPr>
              <w:t xml:space="preserve">The settlement letter also includes a separate, binding Quality Letter Agreement between ELM and SLNG, which sets forth Enron’s rights in relation to modifications at SLNG’s terminal to allow treatment of high BTU content LNG, as the existing terminal tariff restrictions on BTU content would only allow LNG deliveries from Venezuela, Trinidad and a few other sources, and would presently exclude LNG from most other viable sources, including those to which ELM has more firm access.  </w:t>
            </w:r>
          </w:p>
          <w:p>
            <w:pPr>
              <w:pStyle w:val="FootnoteText"/>
              <w:numPr>
                <w:ilvl w:val="0"/>
                <w:numId w:val="5"/>
              </w:numPr>
              <w:spacing w:before="60" w:after="60"/>
              <w:rPr>
                <w:sz w:val="18"/>
              </w:rPr>
            </w:pPr>
            <w:r>
              <w:rPr>
                <w:sz w:val="18"/>
              </w:rPr>
              <w:t>In attempting to finalize the definitive agreements, a dispute has arisen among ELM and SLNG/El Paso as to the nature and scope of the rights and modifications contemplated under the Quality Letter Agreement, and as such there are presently no plans underway to carry out the necessary terminal modifications to give ELM the flexibility that it desires.  Due to delays or non-completion risks relating to Enron’s Venezuela LNG Project, as well as no present firm LNG supply rights from Trinidad, it is possible that without the necessary terminal modifications ELM will be required to pay the $11 million/yr  “capacity element” to El Paso for put rights it cannot fully utilize.</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 xml:space="preserve">Approx. $187 million ($11 million/yr. for full 17 year term) worst case exposure to ELM (no Enron Corp. exposure) if ELM elects to pay for terminal capacity, but does not utilize terminal due to inability to source LNG meeting existing terminal tariff quality spec. or inability to negotiate for  terminal modifications that will allow deliveries of higher BTU content LNG. </w:t>
            </w:r>
          </w:p>
          <w:p>
            <w:pPr>
              <w:pStyle w:val="FootnoteText"/>
              <w:numPr>
                <w:ilvl w:val="0"/>
                <w:numId w:val="5"/>
              </w:numPr>
              <w:tabs>
                <w:tab w:val="clear" w:pos="720"/>
                <w:tab w:val="left" w:pos="252" w:leader="none"/>
              </w:tabs>
              <w:spacing w:before="60" w:after="60"/>
              <w:ind w:hanging="252" w:start="252" w:end="0"/>
              <w:rPr>
                <w:sz w:val="18"/>
              </w:rPr>
            </w:pPr>
            <w:r>
              <w:rPr>
                <w:sz w:val="18"/>
              </w:rPr>
              <w:t>Actual exposure is significantly less than $187 million, as ELM should over the next 17 years be able to source some quantities of LNG that meet the existing terminal spec (even in the absence of the Venezuela project) and utilize the terminal.  Also, El  Paso, the marketing affiliate of Southern LNG (the terminal owner/operator), has offered to buy-out Enron’s rights under the Term Sheet.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Elba Island LNG Terminal is not expected to be reactivated, and thus, ELM’s payment obligations will not commence,  until October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Blue Grass Synfuel LLC v. ENA et al. (W. Gresham; Gail Brownfeld)</w:t>
            </w:r>
          </w:p>
        </w:tc>
        <w:tc>
          <w:tcPr>
            <w:tcW w:w="666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sz w:val="18"/>
              </w:rPr>
            </w:pPr>
            <w:r>
              <w:rPr>
                <w:sz w:val="18"/>
              </w:rPr>
              <w:t>Plaintiffs (affiliates of Sempra Energy) claim that ENA has failed to deliver the agreed upon size of coal under a 7-year Coal Supply Agreement related to two synfuel facilities; thus, depriving Plaintiffs of ability to claim tax credits under Section 29 of US Tax Code</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 xml:space="preserve">Nominally, $140 million at risk, although due to Plaintiff’s duty to mitigate, most likely $35-40 million (Enron Corp. guaranteed ENA’s obligations under Agreement, capped at $140 million) </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Trial in NY State court scheduled for July or Sept.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Gaza IPP Counterparty Default             (D. Rogers)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spacing w:before="60" w:after="60"/>
              <w:rPr>
                <w:sz w:val="18"/>
              </w:rPr>
            </w:pPr>
            <w:r>
              <w:rPr>
                <w:sz w:val="18"/>
              </w:rPr>
              <w:t xml:space="preserve">Palestine Electricity Authority (PEA), as offtaker under a PPA with Gaza Power Generating Company (GPGC) (in which Enron has 33% equity interest), is in breach of its obligation to provide a US$ 20 million payment security deposit (in the form of an acceptable L/C) to GPGC.  </w:t>
            </w:r>
          </w:p>
          <w:p>
            <w:pPr>
              <w:pStyle w:val="FootnoteText"/>
              <w:numPr>
                <w:ilvl w:val="0"/>
                <w:numId w:val="7"/>
              </w:numPr>
              <w:spacing w:before="60" w:after="60"/>
              <w:rPr>
                <w:sz w:val="18"/>
              </w:rPr>
            </w:pPr>
            <w:r>
              <w:rPr>
                <w:sz w:val="18"/>
              </w:rPr>
              <w:t xml:space="preserve">This L/C, as well as access to PEA’s customer receipt accounts, was accepted by GPGC in lieu of a sovereign guaranty.  Thus, to the extent GPGC is injured by non-payment by PEA, Enron is without the additional $20 million cushion before its equity investment in GPGC may become at risk.  </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$20.1 million equity investment at risk</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Unknown at present.  Project was 1 month from commercial operation date when hostilities broke out between Palestine and Israel, putting project into ongoing force majeure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342" w:start="342" w:end="0"/>
              <w:rPr>
                <w:sz w:val="18"/>
              </w:rPr>
            </w:pPr>
            <w:r>
              <w:rPr>
                <w:sz w:val="18"/>
              </w:rPr>
              <w:t>Metals Trading Transaction – Vessel Seizure  (L. Nissan; Britt Davis)</w:t>
            </w:r>
          </w:p>
          <w:p>
            <w:pPr>
              <w:pStyle w:val="FootnoteText"/>
              <w:tabs>
                <w:tab w:val="clear" w:pos="720"/>
                <w:tab w:val="left" w:pos="342" w:leader="none"/>
              </w:tabs>
              <w:spacing w:before="60" w:after="60"/>
              <w:ind w:start="360"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sz w:val="18"/>
              </w:rPr>
            </w:pPr>
            <w:r>
              <w:rPr>
                <w:sz w:val="18"/>
              </w:rPr>
              <w:t xml:space="preserve">Enron Metals &amp; Commodity Corp. (EMCC) has a cargo of lead and zinc aboard a vessel that was to have shipped from China to Baltimore for onsale in U.S. that is being held hostage.   </w:t>
            </w:r>
          </w:p>
          <w:p>
            <w:pPr>
              <w:pStyle w:val="Normal"/>
              <w:numPr>
                <w:ilvl w:val="0"/>
                <w:numId w:val="6"/>
              </w:numPr>
              <w:rPr>
                <w:sz w:val="18"/>
              </w:rPr>
            </w:pPr>
            <w:r>
              <w:rPr>
                <w:sz w:val="18"/>
              </w:rPr>
              <w:t xml:space="preserve">The value of the EMCC cargo is approximately $5.3MM.  </w:t>
            </w:r>
          </w:p>
          <w:p>
            <w:pPr>
              <w:pStyle w:val="Normal"/>
              <w:numPr>
                <w:ilvl w:val="0"/>
                <w:numId w:val="6"/>
              </w:numPr>
              <w:rPr>
                <w:sz w:val="18"/>
              </w:rPr>
            </w:pPr>
            <w:r>
              <w:rPr>
                <w:sz w:val="18"/>
              </w:rPr>
              <w:t>Problems with the ship’s engines and generators required it to dock in Hawaii for repair on two separate occasions. Owners of vessel have not paid amounts due under one of the tow contracts and have not paid crew wages timely (in addition to various other expenses). Tow company has arrested the ship and its cargo (including EMCC cargo).</w:t>
            </w:r>
          </w:p>
          <w:p>
            <w:pPr>
              <w:pStyle w:val="Normal"/>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$ 2-3 million at risk (representing EMCC’s damages incurred to date, plus damages which will be incurred in the near term, plus cost of transshipment of cargo in the event of a failure to reach agreement with ship owner).</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 with respect to roughly $1million -$1.2 million of risk; medium term with respect to the remainder</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pacing w:before="60" w:after="60"/>
              <w:ind w:hanging="270" w:start="342" w:end="0"/>
              <w:rPr>
                <w:sz w:val="18"/>
              </w:rPr>
            </w:pPr>
            <w:r>
              <w:rPr>
                <w:sz w:val="18"/>
              </w:rPr>
              <w:t>6.   First Gas (M/V Pacific Virgo) (M. Lee;R. Sanders)</w:t>
            </w:r>
          </w:p>
        </w:tc>
        <w:tc>
          <w:tcPr>
            <w:tcW w:w="666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sz w:val="18"/>
              </w:rPr>
            </w:pPr>
            <w:r>
              <w:rPr>
                <w:sz w:val="18"/>
              </w:rPr>
              <w:t xml:space="preserve">Mitsubishi (as vessel owners) claim against Enron Capital &amp; Trade Singapore (ECTRS) for unpaid freight and demurrage for shipment of fuel oil to Philippines customer (First Gas). </w:t>
            </w:r>
          </w:p>
          <w:p>
            <w:pPr>
              <w:pStyle w:val="Normal"/>
              <w:numPr>
                <w:ilvl w:val="0"/>
                <w:numId w:val="5"/>
              </w:numPr>
              <w:rPr>
                <w:sz w:val="18"/>
              </w:rPr>
            </w:pPr>
            <w:r>
              <w:rPr>
                <w:sz w:val="18"/>
              </w:rPr>
              <w:t xml:space="preserve">ECTRS is examining counterclaim against Mitsubishi for contamination and/or claim against Phillips Petroleum Company (as sellers to ECTRS) for off-spec cargo, which was rejected by First Gas when delivered.    </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 xml:space="preserve">Mitsubishi’s claim for freight: </w:t>
              <w:br/>
              <w:t xml:space="preserve"> $528, 979. Paid without prejudice to claim of recovery between 29 Jan and 8 Feb 2001.</w:t>
            </w:r>
          </w:p>
          <w:p>
            <w:pPr>
              <w:pStyle w:val="FootnoteText"/>
              <w:numPr>
                <w:ilvl w:val="0"/>
                <w:numId w:val="5"/>
              </w:numPr>
              <w:tabs>
                <w:tab w:val="clear" w:pos="720"/>
                <w:tab w:val="left" w:pos="252" w:leader="none"/>
              </w:tabs>
              <w:spacing w:before="60" w:after="60"/>
              <w:ind w:hanging="252" w:start="252" w:end="0"/>
              <w:rPr>
                <w:sz w:val="18"/>
              </w:rPr>
            </w:pPr>
            <w:r>
              <w:rPr>
                <w:sz w:val="18"/>
              </w:rPr>
              <w:t xml:space="preserve">Mitsubishi’s claim for demurrage: </w:t>
              <w:br/>
              <w:t>$258,555, but their claim may be time barred.</w:t>
            </w:r>
          </w:p>
          <w:p>
            <w:pPr>
              <w:pStyle w:val="FootnoteText"/>
              <w:numPr>
                <w:ilvl w:val="0"/>
                <w:numId w:val="5"/>
              </w:numPr>
              <w:tabs>
                <w:tab w:val="clear" w:pos="720"/>
                <w:tab w:val="left" w:pos="252" w:leader="none"/>
              </w:tabs>
              <w:spacing w:before="60" w:after="60"/>
              <w:ind w:hanging="252" w:start="252" w:end="0"/>
              <w:rPr>
                <w:sz w:val="18"/>
              </w:rPr>
            </w:pPr>
            <w:r>
              <w:rPr>
                <w:sz w:val="18"/>
              </w:rPr>
              <w:t>ECTRS claims losses as a result of the cargo rejection may amount to about $2 million (including replacement cargo and hedging losses).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 xml:space="preserve">Notice of Arbitration issued on 13 Oct 2000. </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napToGrid w:val="false"/>
              <w:spacing w:before="60" w:after="6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ind w:start="-18"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napToGrid w:val="false"/>
              <w:spacing w:before="60" w:after="60"/>
              <w:ind w:start="72"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ind w:start="-18"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napToGrid w:val="false"/>
              <w:spacing w:before="60" w:after="60"/>
              <w:ind w:start="72"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ind w:start="-18"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napToGrid w:val="false"/>
              <w:spacing w:before="60" w:after="6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napToGrid w:val="false"/>
              <w:spacing w:before="60" w:after="60"/>
              <w:ind w:start="72"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napToGrid w:val="false"/>
              <w:spacing w:before="60" w:after="6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napToGrid w:val="false"/>
              <w:spacing w:before="60" w:after="6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tabs>
                <w:tab w:val="clear" w:pos="720"/>
                <w:tab w:val="left" w:pos="342" w:leader="none"/>
              </w:tabs>
              <w:snapToGrid w:val="false"/>
              <w:spacing w:before="60" w:after="6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342" w:leader="none"/>
              </w:tabs>
              <w:snapToGrid w:val="false"/>
              <w:spacing w:before="60" w:after="6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/mnt/main-storage/datasets/enron-docs/doc/EGM_LEGALTOP_TEN_RISKS.2_21_01.doc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/mnt/main-storage/datasets/enron-docs/doc/EGM_LEGALTOP_TEN_RISKS.2_21_01.doc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b/>
          <w:sz w:val="16"/>
          <w:u w:val="single"/>
          <w:vertAlign w:val="superscript"/>
        </w:rPr>
      </w:pPr>
      <w:r>
        <w:rPr>
          <w:rStyle w:val="FootnoteCharacters"/>
        </w:rPr>
        <w:footnoteRef/>
      </w:r>
      <w:r>
        <w:rPr>
          <w:b/>
          <w:sz w:val="16"/>
          <w:u w:val="single"/>
          <w:vertAlign w:val="superscript"/>
        </w:rPr>
      </w:r>
    </w:p>
    <w:p>
      <w:pPr>
        <w:pStyle w:val="FootnoteText"/>
        <w:jc w:val="both"/>
        <w:rPr/>
      </w:pPr>
      <w:r>
        <w:rPr>
          <w:b/>
          <w:sz w:val="16"/>
          <w:u w:val="single"/>
          <w:vertAlign w:val="superscript"/>
        </w:rPr>
        <w:t>1</w:t>
      </w:r>
      <w:r>
        <w:rPr>
          <w:sz w:val="16"/>
          <w:vertAlign w:val="superscript"/>
        </w:rPr>
        <w:t xml:space="preserve"> </w:t>
      </w:r>
      <w:r>
        <w:rPr>
          <w:sz w:val="16"/>
        </w:rPr>
        <w:t>This document was prepared by EGM Legal for the purpose of facilitating the rendition of professional legal services.</w:t>
      </w:r>
    </w:p>
    <w:p>
      <w:pPr>
        <w:pStyle w:val="FootnoteText"/>
        <w:jc w:val="both"/>
        <w:rPr/>
      </w:pPr>
      <w:r>
        <w:rPr>
          <w:rStyle w:val="FootnoteCharacters"/>
          <w:b/>
          <w:sz w:val="16"/>
          <w:u w:val="single"/>
        </w:rPr>
        <w:t>?</w:t>
      </w:r>
      <w:r>
        <w:rPr>
          <w:sz w:val="16"/>
        </w:rPr>
        <w:t xml:space="preserve"> 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02/23/01)</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1z1">
    <w:name w:val="WW8Num31z1"/>
    <w:qFormat/>
    <w:rPr>
      <w:rFonts w:ascii="Symbol" w:hAnsi="Symbol" w:cs="Symbol"/>
    </w:rPr>
  </w:style>
  <w:style w:type="character" w:styleId="WW8Num32z0">
    <w:name w:val="WW8Num32z0"/>
    <w:qFormat/>
    <w:rPr>
      <w:rFonts w:ascii="Arial" w:hAnsi="Arial" w:cs="Arial"/>
      <w:sz w:val="22"/>
    </w:rPr>
  </w:style>
  <w:style w:type="character" w:styleId="WW8Num36z0">
    <w:name w:val="WW8Num36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3z0">
    <w:name w:val="WW8Num43z0"/>
    <w:qFormat/>
    <w:rPr/>
  </w:style>
  <w:style w:type="character" w:styleId="WW8Num48z0">
    <w:name w:val="WW8Num48z0"/>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4"/>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2001-02-21T18:49:00Z</dcterms:created>
  <dc:creator>Brenda Whitehead</dc:creator>
  <dc:description/>
  <dc:language>en-CA</dc:language>
  <cp:lastModifiedBy>aaronow</cp:lastModifiedBy>
  <cp:lastPrinted>2001-02-22T19:11:00Z</cp:lastPrinted>
  <dcterms:modified xsi:type="dcterms:W3CDTF">2001-02-27T14:36:00Z</dcterms:modified>
  <cp:revision>12</cp:revision>
  <dc:subject/>
  <dc:title>COUNTERPARTY</dc:title>
</cp:coreProperties>
</file>