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b/>
        </w:rPr>
      </w:pPr>
      <w:r>
        <w:rPr>
          <w:b/>
        </w:rPr>
        <w:t>Enron Global Markets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2001 – Goals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Enron Global Markets</w:t>
      </w:r>
    </w:p>
    <w:p>
      <w:pPr>
        <w:pStyle w:val="Normal"/>
        <w:numPr>
          <w:ilvl w:val="0"/>
          <w:numId w:val="15"/>
        </w:numPr>
        <w:rPr>
          <w:sz w:val="24"/>
        </w:rPr>
      </w:pPr>
      <w:r>
        <w:rPr>
          <w:sz w:val="24"/>
        </w:rPr>
        <w:t>Create $510 million in gross margin and $316 million in EBIT</w:t>
      </w:r>
    </w:p>
    <w:p>
      <w:pPr>
        <w:pStyle w:val="Normal"/>
        <w:numPr>
          <w:ilvl w:val="0"/>
          <w:numId w:val="15"/>
        </w:numPr>
        <w:rPr>
          <w:sz w:val="24"/>
        </w:rPr>
      </w:pPr>
      <w:r>
        <w:rPr>
          <w:sz w:val="24"/>
        </w:rPr>
        <w:t>Develop the businesses included in the EGM group to become sustainable businesses that will grow at a rate of at least 50% per year while positioning themselves to take advantages of large global market opportunities</w:t>
      </w:r>
    </w:p>
    <w:p>
      <w:pPr>
        <w:pStyle w:val="Normal"/>
        <w:numPr>
          <w:ilvl w:val="0"/>
          <w:numId w:val="15"/>
        </w:numPr>
        <w:rPr>
          <w:i/>
          <w:i/>
          <w:iCs/>
          <w:sz w:val="24"/>
        </w:rPr>
      </w:pPr>
      <w:r>
        <w:rPr>
          <w:i/>
          <w:iCs/>
          <w:sz w:val="24"/>
        </w:rPr>
        <w:t xml:space="preserve">More specific goals and objectives listed below for each business unit.  The 50% growth targets are internal and we expect to actually grow each business at a much higher rate and have possible breakout opportunities in many businesses </w:t>
      </w:r>
    </w:p>
    <w:p>
      <w:pPr>
        <w:pStyle w:val="Normal"/>
        <w:rPr>
          <w:i/>
          <w:i/>
          <w:iCs/>
          <w:sz w:val="24"/>
        </w:rPr>
      </w:pPr>
      <w:r>
        <w:rPr>
          <w:i/>
          <w:iCs/>
          <w:sz w:val="24"/>
        </w:rPr>
      </w:r>
    </w:p>
    <w:p>
      <w:pPr>
        <w:pStyle w:val="Heading2"/>
        <w:ind w:hanging="0" w:start="0"/>
        <w:rPr/>
      </w:pPr>
      <w:r>
        <w:rPr/>
        <w:t>Crude and Products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Create $150 million in gross margin and $83 million in EBIT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Develop mid-market liquidity around defined books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Develop long term structured origination group to generate earnings, compliment or mitigate existing trading positions and build deal flow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Extend into new and key business opportunities to exploit Enron’s natural gas and power businesses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Add 100,000 bbls/day of physical crude to the international portfolio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LNG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Create $60 million in gross margin and $50 million in EBIT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Create a portfolio of positions including supply sources, shipping and markets to open and generate a new markets for LNG globally that can maximize and take advantage of the highest net backs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Develop an online market for LNG on EnronOnline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Close and deliver a minimum of 10 spot cargos around the world that illustrates Enron’s ability to change the industry 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Close Project Jose; successfully manage the supply and shipping positions around Dabhol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Coal group</w:t>
      </w:r>
    </w:p>
    <w:p>
      <w:pPr>
        <w:pStyle w:val="Heading2"/>
        <w:tabs>
          <w:tab w:val="clear" w:pos="720"/>
          <w:tab w:val="left" w:pos="630" w:leader="none"/>
        </w:tabs>
        <w:ind w:hanging="0" w:start="720" w:end="0"/>
        <w:rPr>
          <w:i/>
          <w:i/>
        </w:rPr>
      </w:pPr>
      <w:r>
        <w:rPr>
          <w:i/>
        </w:rPr>
        <w:t>Coal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Create $75 million in gross margin and $34 million in EBIT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Continue to dominate domestic volumes and establish ourselves as the No. 2 international trader 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Originate large physical positions in PRB and East coast markets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Originate 3 international and 2 domestic term “stockpile” deals with domestic and international generators allowing Enron to control coal, rail and vessel transportation, ports and stockpiles</w:t>
      </w:r>
    </w:p>
    <w:p>
      <w:pPr>
        <w:pStyle w:val="Normal"/>
        <w:tabs>
          <w:tab w:val="clear" w:pos="720"/>
          <w:tab w:val="left" w:pos="630" w:leader="none"/>
        </w:tabs>
        <w:ind w:start="720" w:end="0"/>
        <w:rPr>
          <w:sz w:val="24"/>
        </w:rPr>
      </w:pPr>
      <w:r>
        <w:rPr>
          <w:sz w:val="24"/>
        </w:rPr>
      </w:r>
    </w:p>
    <w:p>
      <w:pPr>
        <w:pStyle w:val="Heading3"/>
        <w:tabs>
          <w:tab w:val="clear" w:pos="720"/>
          <w:tab w:val="left" w:pos="630" w:leader="none"/>
        </w:tabs>
        <w:ind w:hanging="0" w:start="720" w:end="0"/>
        <w:rPr/>
      </w:pPr>
      <w:r>
        <w:rPr/>
        <w:t>Emissions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Develop mid-market liquidity in SO2/Nox markets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Integrate the emission abatement technology group with the trading group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Expand traded products to include Nox, ERC’s, mercury/carbon (when appropriate)</w:t>
      </w:r>
    </w:p>
    <w:p>
      <w:pPr>
        <w:pStyle w:val="Normal"/>
        <w:tabs>
          <w:tab w:val="clear" w:pos="720"/>
          <w:tab w:val="left" w:pos="630" w:leader="none"/>
        </w:tabs>
        <w:ind w:start="720" w:end="0"/>
        <w:rPr>
          <w:sz w:val="24"/>
        </w:rPr>
      </w:pPr>
      <w:r>
        <w:rPr>
          <w:sz w:val="24"/>
        </w:rPr>
      </w:r>
    </w:p>
    <w:p>
      <w:pPr>
        <w:pStyle w:val="Heading3"/>
        <w:tabs>
          <w:tab w:val="clear" w:pos="720"/>
          <w:tab w:val="left" w:pos="630" w:leader="none"/>
        </w:tabs>
        <w:ind w:hanging="0" w:start="720" w:end="0"/>
        <w:rPr/>
      </w:pPr>
      <w:r>
        <w:rPr/>
        <w:t>Vessels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Increase the size or Enron portfolio/counterparts – COA, time charters, options, equity/banks, funds, owners, operators, generators and producers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630" w:leader="none"/>
        </w:tabs>
        <w:ind w:hanging="360" w:start="720" w:end="0"/>
        <w:rPr/>
      </w:pPr>
      <w:r>
        <w:rPr/>
        <w:t>Develop long-dated originated deal structures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30" w:leader="none"/>
        </w:tabs>
        <w:ind w:hanging="360" w:start="720" w:end="0"/>
        <w:rPr>
          <w:sz w:val="24"/>
        </w:rPr>
      </w:pPr>
      <w:r>
        <w:rPr>
          <w:sz w:val="24"/>
        </w:rPr>
        <w:t>Become the clear global leader in market making for vessel freight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Financial Trading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Create $110 million in gross margin and $80 million in EBIT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Expand Enron’s successful equity trading group into other areas that can take advantage of Enron’s network and competitive advantages in existing businesses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Establish agriculture origination and trading business (starting with coffee, sugar, cocoa)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Establish equity trading group in London and a smaller group in Tokyo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Weather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Create $38 million in gross margin and $24 million in EBIT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Implement a fully integrated global front to back weather system 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Lever Enron’s scope and scale to create a true global group that can capitalize on opportunities around the world to executive global arbs and global meteorological opportunities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Originate 3 additional SMUD (dual trigger) like transactions; 1 structured tax related transaction and at least 1 new structured financial transaction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Global Risk Markets</w:t>
      </w:r>
    </w:p>
    <w:p>
      <w:pPr>
        <w:pStyle w:val="Normal"/>
        <w:numPr>
          <w:ilvl w:val="0"/>
          <w:numId w:val="12"/>
        </w:numPr>
        <w:rPr>
          <w:sz w:val="24"/>
        </w:rPr>
      </w:pPr>
      <w:r>
        <w:rPr>
          <w:sz w:val="24"/>
        </w:rPr>
        <w:t>Create $38 million in gross margin and $26 million in EBIT</w:t>
      </w:r>
    </w:p>
    <w:p>
      <w:pPr>
        <w:pStyle w:val="Normal"/>
        <w:numPr>
          <w:ilvl w:val="0"/>
          <w:numId w:val="12"/>
        </w:numPr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Expand origination: increase deal pipeline to a minimum of 20 potential transaction under discussion at any given time.</w:t>
      </w:r>
    </w:p>
    <w:p>
      <w:pPr>
        <w:pStyle w:val="Normal"/>
        <w:numPr>
          <w:ilvl w:val="0"/>
          <w:numId w:val="12"/>
        </w:numPr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Execute transactions in three primary markets:</w:t>
      </w:r>
    </w:p>
    <w:p>
      <w:pPr>
        <w:pStyle w:val="Normal"/>
        <w:numPr>
          <w:ilvl w:val="0"/>
          <w:numId w:val="8"/>
        </w:numPr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Contingent Options: commodity price options which knock in due to a physical event - "double trigger" options.</w:t>
      </w:r>
    </w:p>
    <w:p>
      <w:pPr>
        <w:pStyle w:val="Normal"/>
        <w:numPr>
          <w:ilvl w:val="0"/>
          <w:numId w:val="8"/>
        </w:numPr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Take power double trigger product and apply technology to other commodity markets</w:t>
      </w:r>
    </w:p>
    <w:p>
      <w:pPr>
        <w:pStyle w:val="Normal"/>
        <w:numPr>
          <w:ilvl w:val="0"/>
          <w:numId w:val="8"/>
        </w:numPr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Upstream Market: using Reliable Reserves (variation of VPP) and Term Working Interest structures.</w:t>
      </w:r>
    </w:p>
    <w:p>
      <w:pPr>
        <w:pStyle w:val="Normal"/>
        <w:numPr>
          <w:ilvl w:val="0"/>
          <w:numId w:val="12"/>
        </w:numPr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Power Market: using long term spark spread cover and residual value insurance structures.</w:t>
      </w:r>
    </w:p>
    <w:p>
      <w:pPr>
        <w:pStyle w:val="Normal"/>
        <w:numPr>
          <w:ilvl w:val="0"/>
          <w:numId w:val="12"/>
        </w:numPr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Extend insurance market structures to new markets such as steel, coal, pulp &amp; paper, etc.: identify, market and execute 1 transaction.</w:t>
      </w:r>
    </w:p>
    <w:p>
      <w:pPr>
        <w:pStyle w:val="Normal"/>
        <w:numPr>
          <w:ilvl w:val="0"/>
          <w:numId w:val="12"/>
        </w:numPr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>Establish fully capitalized insurance trading vehicle (Enron Re or other appropriate entity) for portfolio management of insurance risks we take on.</w:t>
      </w:r>
    </w:p>
    <w:p>
      <w:pPr>
        <w:pStyle w:val="Normal"/>
        <w:numPr>
          <w:ilvl w:val="0"/>
          <w:numId w:val="12"/>
        </w:numPr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>Evaluate pros and cons of strategic partnership with one or more insurance companies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Heading2"/>
        <w:ind w:hanging="0" w:start="0"/>
        <w:rPr/>
      </w:pPr>
      <w:r>
        <w:rPr/>
        <w:t>Enron Freight</w:t>
      </w:r>
    </w:p>
    <w:p>
      <w:pPr>
        <w:pStyle w:val="Heading1"/>
        <w:numPr>
          <w:ilvl w:val="0"/>
          <w:numId w:val="14"/>
        </w:numPr>
        <w:rPr/>
      </w:pPr>
      <w:r>
        <w:rPr/>
        <w:t>Create $10 million in gross margin and $7 million in EBIT</w:t>
      </w:r>
    </w:p>
    <w:p>
      <w:pPr>
        <w:pStyle w:val="Normal"/>
        <w:numPr>
          <w:ilvl w:val="0"/>
          <w:numId w:val="13"/>
        </w:numPr>
        <w:rPr>
          <w:sz w:val="24"/>
        </w:rPr>
      </w:pPr>
      <w:r>
        <w:rPr>
          <w:sz w:val="24"/>
        </w:rPr>
        <w:t>Successfully complete and assimilate WebModal acquisition into a new domestic and highly profitable US transportation business</w:t>
      </w:r>
    </w:p>
    <w:p>
      <w:pPr>
        <w:pStyle w:val="Normal"/>
        <w:numPr>
          <w:ilvl w:val="0"/>
          <w:numId w:val="13"/>
        </w:numPr>
        <w:rPr>
          <w:sz w:val="24"/>
        </w:rPr>
      </w:pPr>
      <w:r>
        <w:rPr>
          <w:sz w:val="24"/>
        </w:rPr>
        <w:t>Develop a strong team and establish Enron as a credible player in the ground freight business</w:t>
      </w:r>
    </w:p>
    <w:p>
      <w:pPr>
        <w:pStyle w:val="Normal"/>
        <w:numPr>
          <w:ilvl w:val="0"/>
          <w:numId w:val="13"/>
        </w:numPr>
        <w:rPr>
          <w:sz w:val="24"/>
        </w:rPr>
      </w:pPr>
      <w:r>
        <w:rPr>
          <w:sz w:val="24"/>
        </w:rPr>
        <w:t>Develop a new system for processing large volume transactions</w:t>
      </w:r>
    </w:p>
    <w:p>
      <w:pPr>
        <w:pStyle w:val="Heading2"/>
        <w:ind w:hanging="0" w:start="0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Enron Middle East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Create $12 million in gross margin and $6 million in EBIT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Close project Dolphin with proper execution to maximize Enron’s return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 xml:space="preserve">Originate 2 additional commodity transactions to leverage merchant or LNG business (including Oman projects)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Finance and Structuring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Create $15 million in gross margin and $12 million in EBIT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Create earnings and structures that utilities Enron’s’ structures to minimize balance sheet and maximize earnings and cash flows</w:t>
      </w:r>
    </w:p>
    <w:p>
      <w:pPr>
        <w:pStyle w:val="Normal"/>
        <w:numPr>
          <w:ilvl w:val="0"/>
          <w:numId w:val="10"/>
        </w:numPr>
        <w:rPr>
          <w:sz w:val="24"/>
        </w:rPr>
      </w:pPr>
      <w:r>
        <w:rPr>
          <w:sz w:val="24"/>
        </w:rPr>
        <w:t>Create funds flow of $150 million and net cash flow of $59 million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16"/>
        </w:rPr>
      </w:pPr>
      <w:r>
        <w:rPr>
          <w:sz w:val="16"/>
        </w:rPr>
        <w:t>File: EGM2001goals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2001-02-05T11:44:00Z</dcterms:created>
  <dc:creator>mmccon1</dc:creator>
  <dc:description/>
  <dc:language>en-CA</dc:language>
  <cp:lastModifiedBy>Mike McConnell</cp:lastModifiedBy>
  <cp:lastPrinted>2001-02-05T09:44:00Z</cp:lastPrinted>
  <dcterms:modified xsi:type="dcterms:W3CDTF">2001-02-06T16:39:00Z</dcterms:modified>
  <cp:revision>10</cp:revision>
  <dc:subject/>
  <dc:title>Greg, I recevied the voicemail while coming back from Venezuela</dc:title>
</cp:coreProperties>
</file>