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88" w:type="dxa"/>
        <w:jc w:val="start"/>
        <w:tblInd w:w="0" w:type="dxa"/>
        <w:tblLayout w:type="fixed"/>
        <w:tblCellMar>
          <w:top w:w="0" w:type="dxa"/>
          <w:start w:w="108" w:type="dxa"/>
          <w:bottom w:w="0" w:type="dxa"/>
          <w:end w:w="108" w:type="dxa"/>
        </w:tblCellMar>
      </w:tblPr>
      <w:tblGrid>
        <w:gridCol w:w="200"/>
        <w:gridCol w:w="708"/>
        <w:gridCol w:w="1360"/>
        <w:gridCol w:w="2430"/>
        <w:gridCol w:w="2255"/>
        <w:gridCol w:w="990"/>
        <w:gridCol w:w="3055"/>
        <w:gridCol w:w="90"/>
      </w:tblGrid>
      <w:tr>
        <w:trPr/>
        <w:tc>
          <w:tcPr>
            <w:tcW w:w="2268" w:type="dxa"/>
            <w:gridSpan w:val="3"/>
            <w:tcBorders/>
          </w:tcPr>
          <w:p>
            <w:pPr>
              <w:pStyle w:val="Subject"/>
              <w:tabs>
                <w:tab w:val="left" w:pos="540" w:leader="none"/>
              </w:tabs>
              <w:rPr/>
            </w:pPr>
            <w:bookmarkStart w:id="0" w:name="StartOfMemo"/>
            <w:bookmarkEnd w:id="0"/>
            <w:r>
              <w:rPr/>
              <w:drawing>
                <wp:inline distT="0" distB="0" distL="0" distR="0">
                  <wp:extent cx="1130935" cy="1115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0935" cy="1115060"/>
                          </a:xfrm>
                          <a:prstGeom prst="rect">
                            <a:avLst/>
                          </a:prstGeom>
                          <a:noFill/>
                        </pic:spPr>
                      </pic:pic>
                    </a:graphicData>
                  </a:graphic>
                </wp:inline>
              </w:drawing>
            </w:r>
          </w:p>
          <w:p>
            <w:pPr>
              <w:pStyle w:val="Normal"/>
              <w:rPr/>
            </w:pPr>
            <w:r>
              <w:rPr/>
            </w:r>
          </w:p>
        </w:tc>
        <w:tc>
          <w:tcPr>
            <w:tcW w:w="2430" w:type="dxa"/>
            <w:tcBorders/>
          </w:tcPr>
          <w:p>
            <w:pPr>
              <w:pStyle w:val="Normal"/>
              <w:snapToGrid w:val="false"/>
              <w:rPr/>
            </w:pPr>
            <w:r>
              <w:rPr/>
            </w:r>
          </w:p>
        </w:tc>
        <w:tc>
          <w:tcPr>
            <w:tcW w:w="6300" w:type="dxa"/>
            <w:gridSpan w:val="3"/>
            <w:tcBorders/>
          </w:tcPr>
          <w:p>
            <w:pPr>
              <w:pStyle w:val="Normal"/>
              <w:jc w:val="end"/>
              <w:rPr>
                <w:b/>
                <w:vanish/>
                <w:sz w:val="28"/>
              </w:rPr>
            </w:pPr>
            <w:r>
              <w:rPr>
                <w:b/>
                <w:vanish/>
                <w:sz w:val="28"/>
              </w:rPr>
              <w:t>Confidential</w:t>
            </w:r>
          </w:p>
          <w:p>
            <w:pPr>
              <w:pStyle w:val="Normal"/>
              <w:jc w:val="end"/>
              <w:rPr>
                <w:b/>
                <w:vanish/>
                <w:sz w:val="28"/>
              </w:rPr>
            </w:pPr>
            <w:r>
              <w:rPr>
                <w:b/>
                <w:vanish/>
                <w:sz w:val="28"/>
              </w:rPr>
              <w:t>Attorney-Client Privilege</w:t>
            </w:r>
          </w:p>
          <w:p>
            <w:pPr>
              <w:pStyle w:val="Normal"/>
              <w:rPr>
                <w:b/>
                <w:vanish/>
                <w:sz w:val="28"/>
              </w:rPr>
            </w:pPr>
            <w:r>
              <w:rPr>
                <w:b/>
                <w:vanish/>
                <w:sz w:val="28"/>
              </w:rPr>
            </w:r>
          </w:p>
        </w:tc>
        <w:tc>
          <w:tcPr>
            <w:tcW w:w="90" w:type="dxa"/>
            <w:tcBorders/>
            <w:tcMar>
              <w:start w:w="0" w:type="dxa"/>
              <w:end w:w="0" w:type="dxa"/>
            </w:tcMar>
          </w:tcPr>
          <w:p>
            <w:pPr>
              <w:pStyle w:val="Normal"/>
              <w:snapToGrid w:val="false"/>
              <w:rPr>
                <w:b/>
                <w:vanish/>
                <w:sz w:val="28"/>
              </w:rPr>
            </w:pPr>
            <w:r>
              <w:rPr>
                <w:b/>
                <w:vanish/>
                <w:sz w:val="28"/>
              </w:rPr>
            </w:r>
          </w:p>
        </w:tc>
      </w:tr>
      <w:tr>
        <w:trPr>
          <w:trHeight w:val="300" w:hRule="exact"/>
        </w:trPr>
        <w:tc>
          <w:tcPr>
            <w:tcW w:w="200" w:type="dxa"/>
            <w:tcBorders/>
            <w:tcMar>
              <w:start w:w="0" w:type="dxa"/>
              <w:end w:w="0" w:type="dxa"/>
            </w:tcMar>
          </w:tcPr>
          <w:p>
            <w:pPr>
              <w:pStyle w:val="TableContents"/>
              <w:rPr>
                <w:vanish/>
              </w:rPr>
            </w:pPr>
            <w:r>
              <w:rPr>
                <w:vanish/>
              </w:rPr>
            </w:r>
          </w:p>
        </w:tc>
        <w:tc>
          <w:tcPr>
            <w:tcW w:w="708" w:type="dxa"/>
            <w:tcBorders/>
          </w:tcPr>
          <w:p>
            <w:pPr>
              <w:pStyle w:val="Normal"/>
              <w:ind w:start="-180" w:end="0"/>
              <w:jc w:val="end"/>
              <w:rPr>
                <w:sz w:val="16"/>
              </w:rPr>
            </w:pPr>
            <w:r>
              <w:rPr>
                <w:sz w:val="16"/>
              </w:rPr>
              <w:t>To:</w:t>
            </w:r>
          </w:p>
        </w:tc>
        <w:tc>
          <w:tcPr>
            <w:tcW w:w="6045" w:type="dxa"/>
            <w:gridSpan w:val="3"/>
            <w:tcBorders/>
          </w:tcPr>
          <w:p>
            <w:pPr>
              <w:pStyle w:val="To"/>
              <w:rPr>
                <w:sz w:val="22"/>
              </w:rPr>
            </w:pPr>
            <w:r>
              <w:rPr>
                <w:sz w:val="22"/>
              </w:rPr>
              <w:t>Enron Global Finance</w:t>
            </w:r>
          </w:p>
        </w:tc>
        <w:tc>
          <w:tcPr>
            <w:tcW w:w="990" w:type="dxa"/>
            <w:tcBorders/>
          </w:tcPr>
          <w:p>
            <w:pPr>
              <w:pStyle w:val="Normal"/>
              <w:snapToGrid w:val="false"/>
              <w:ind w:start="-180" w:end="0"/>
              <w:rPr>
                <w:sz w:val="22"/>
              </w:rPr>
            </w:pPr>
            <w:r>
              <w:rPr>
                <w:sz w:val="22"/>
              </w:rPr>
            </w:r>
          </w:p>
        </w:tc>
        <w:tc>
          <w:tcPr>
            <w:tcW w:w="3145" w:type="dxa"/>
            <w:gridSpan w:val="2"/>
            <w:tcBorders/>
            <w:tcMar>
              <w:start w:w="0" w:type="dxa"/>
              <w:end w:w="0" w:type="dxa"/>
            </w:tcMar>
          </w:tcPr>
          <w:p>
            <w:pPr>
              <w:pStyle w:val="Normal"/>
              <w:snapToGrid w:val="false"/>
              <w:rPr>
                <w:sz w:val="22"/>
              </w:rPr>
            </w:pPr>
            <w:r>
              <w:rPr>
                <w:sz w:val="22"/>
              </w:rPr>
            </w:r>
          </w:p>
        </w:tc>
      </w:tr>
      <w:tr>
        <w:trPr>
          <w:trHeight w:val="349"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3145" w:type="dxa"/>
            <w:gridSpan w:val="2"/>
            <w:tcBorders/>
            <w:tcMar>
              <w:start w:w="0" w:type="dxa"/>
              <w:end w:w="0" w:type="dxa"/>
            </w:tcMar>
          </w:tcPr>
          <w:p>
            <w:pPr>
              <w:pStyle w:val="Normal"/>
              <w:snapToGrid w:val="false"/>
              <w:rPr>
                <w:sz w:val="22"/>
              </w:rPr>
            </w:pPr>
            <w:r>
              <w:rPr>
                <w:sz w:val="22"/>
              </w:rPr>
            </w:r>
          </w:p>
        </w:tc>
      </w:tr>
      <w:tr>
        <w:trPr>
          <w:trHeight w:val="300"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ind w:start="-180" w:end="0"/>
              <w:jc w:val="end"/>
              <w:rPr>
                <w:sz w:val="16"/>
              </w:rPr>
            </w:pPr>
            <w:r>
              <w:rPr>
                <w:sz w:val="16"/>
              </w:rPr>
              <w:t>From:</w:t>
            </w:r>
          </w:p>
        </w:tc>
        <w:tc>
          <w:tcPr>
            <w:tcW w:w="6045" w:type="dxa"/>
            <w:gridSpan w:val="3"/>
            <w:tcBorders/>
          </w:tcPr>
          <w:p>
            <w:pPr>
              <w:pStyle w:val="From"/>
              <w:rPr>
                <w:sz w:val="22"/>
              </w:rPr>
            </w:pPr>
            <w:r>
              <w:rPr>
                <w:sz w:val="22"/>
              </w:rPr>
              <w:t>Jordan Mintz</w:t>
            </w:r>
          </w:p>
        </w:tc>
        <w:tc>
          <w:tcPr>
            <w:tcW w:w="990" w:type="dxa"/>
            <w:tcBorders/>
          </w:tcPr>
          <w:p>
            <w:pPr>
              <w:pStyle w:val="Normal"/>
              <w:ind w:start="-180" w:end="0"/>
              <w:jc w:val="end"/>
              <w:rPr>
                <w:sz w:val="16"/>
              </w:rPr>
            </w:pPr>
            <w:r>
              <w:rPr>
                <w:sz w:val="16"/>
              </w:rPr>
              <w:t>Department:</w:t>
            </w:r>
          </w:p>
        </w:tc>
        <w:tc>
          <w:tcPr>
            <w:tcW w:w="3055" w:type="dxa"/>
            <w:tcBorders/>
          </w:tcPr>
          <w:p>
            <w:pPr>
              <w:pStyle w:val="Department"/>
              <w:rPr>
                <w:sz w:val="22"/>
              </w:rPr>
            </w:pPr>
            <w:r>
              <w:rPr>
                <w:sz w:val="22"/>
              </w:rPr>
              <w:t>EGF-Legal</w:t>
            </w:r>
          </w:p>
        </w:tc>
        <w:tc>
          <w:tcPr>
            <w:tcW w:w="90" w:type="dxa"/>
            <w:tcBorders/>
            <w:tcMar>
              <w:start w:w="0" w:type="dxa"/>
              <w:end w:w="0" w:type="dxa"/>
            </w:tcMar>
          </w:tcPr>
          <w:p>
            <w:pPr>
              <w:pStyle w:val="Normal"/>
              <w:snapToGrid w:val="false"/>
              <w:rPr>
                <w:sz w:val="22"/>
              </w:rPr>
            </w:pPr>
            <w:r>
              <w:rPr>
                <w:sz w:val="22"/>
              </w:rPr>
            </w:r>
            <w:bookmarkStart w:id="1" w:name="From"/>
            <w:bookmarkStart w:id="2" w:name="From"/>
            <w:bookmarkEnd w:id="2"/>
          </w:p>
        </w:tc>
      </w:tr>
      <w:tr>
        <w:trPr>
          <w:trHeight w:val="283"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3055" w:type="dxa"/>
            <w:tcBorders/>
          </w:tcPr>
          <w:p>
            <w:pPr>
              <w:pStyle w:val="Normal"/>
              <w:snapToGrid w:val="false"/>
              <w:rPr>
                <w:sz w:val="22"/>
              </w:rPr>
            </w:pPr>
            <w:r>
              <w:rPr>
                <w:sz w:val="22"/>
              </w:rPr>
            </w:r>
          </w:p>
        </w:tc>
        <w:tc>
          <w:tcPr>
            <w:tcW w:w="90" w:type="dxa"/>
            <w:tcBorders/>
            <w:tcMar>
              <w:start w:w="0" w:type="dxa"/>
              <w:end w:w="0" w:type="dxa"/>
            </w:tcMar>
          </w:tcPr>
          <w:p>
            <w:pPr>
              <w:pStyle w:val="Normal"/>
              <w:snapToGrid w:val="false"/>
              <w:rPr>
                <w:sz w:val="22"/>
              </w:rPr>
            </w:pPr>
            <w:r>
              <w:rPr>
                <w:sz w:val="22"/>
              </w:rPr>
            </w:r>
          </w:p>
        </w:tc>
      </w:tr>
      <w:tr>
        <w:trPr>
          <w:trHeight w:val="288"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ind w:start="-180" w:end="0"/>
              <w:jc w:val="end"/>
              <w:rPr>
                <w:sz w:val="16"/>
              </w:rPr>
            </w:pPr>
            <w:r>
              <w:rPr>
                <w:sz w:val="16"/>
              </w:rPr>
              <w:t>Subject:</w:t>
            </w:r>
          </w:p>
        </w:tc>
        <w:tc>
          <w:tcPr>
            <w:tcW w:w="6045" w:type="dxa"/>
            <w:gridSpan w:val="3"/>
            <w:tcBorders/>
          </w:tcPr>
          <w:p>
            <w:pPr>
              <w:pStyle w:val="Subject"/>
              <w:rPr>
                <w:b/>
                <w:sz w:val="22"/>
              </w:rPr>
            </w:pPr>
            <w:r>
              <w:rPr>
                <w:b/>
                <w:sz w:val="22"/>
              </w:rPr>
              <w:t>EGF-Legal Promotions</w:t>
            </w:r>
          </w:p>
        </w:tc>
        <w:tc>
          <w:tcPr>
            <w:tcW w:w="990" w:type="dxa"/>
            <w:tcBorders/>
          </w:tcPr>
          <w:p>
            <w:pPr>
              <w:pStyle w:val="Normal"/>
              <w:ind w:start="-180" w:end="0"/>
              <w:jc w:val="end"/>
              <w:rPr>
                <w:sz w:val="16"/>
              </w:rPr>
            </w:pPr>
            <w:r>
              <w:rPr>
                <w:sz w:val="16"/>
              </w:rPr>
              <w:t>Date:</w:t>
            </w:r>
          </w:p>
        </w:tc>
        <w:tc>
          <w:tcPr>
            <w:tcW w:w="3055" w:type="dxa"/>
            <w:tcBorders/>
          </w:tcPr>
          <w:p>
            <w:pPr>
              <w:pStyle w:val="Date"/>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tc>
        <w:tc>
          <w:tcPr>
            <w:tcW w:w="90" w:type="dxa"/>
            <w:tcBorders/>
            <w:tcMar>
              <w:start w:w="0" w:type="dxa"/>
              <w:end w:w="0" w:type="dxa"/>
            </w:tcMar>
          </w:tcPr>
          <w:p>
            <w:pPr>
              <w:pStyle w:val="Normal"/>
              <w:snapToGrid w:val="false"/>
              <w:rPr>
                <w:sz w:val="22"/>
              </w:rPr>
            </w:pPr>
            <w:r>
              <w:rPr>
                <w:sz w:val="22"/>
              </w:rPr>
            </w:r>
          </w:p>
        </w:tc>
      </w:tr>
      <w:tr>
        <w:trPr>
          <w:trHeight w:val="342" w:hRule="exact"/>
        </w:trPr>
        <w:tc>
          <w:tcPr>
            <w:tcW w:w="200" w:type="dxa"/>
            <w:tcBorders/>
            <w:tcMar>
              <w:start w:w="0" w:type="dxa"/>
              <w:end w:w="0" w:type="dxa"/>
            </w:tcMar>
          </w:tcPr>
          <w:p>
            <w:pPr>
              <w:pStyle w:val="TableContents"/>
              <w:rPr>
                <w:sz w:val="22"/>
              </w:rPr>
            </w:pPr>
            <w:r>
              <w:rPr>
                <w:sz w:val="22"/>
              </w:rPr>
            </w:r>
          </w:p>
        </w:tc>
        <w:tc>
          <w:tcPr>
            <w:tcW w:w="708" w:type="dxa"/>
            <w:tcBorders>
              <w:bottom w:val="single" w:sz="12" w:space="0" w:color="000000"/>
            </w:tcBorders>
          </w:tcPr>
          <w:p>
            <w:pPr>
              <w:pStyle w:val="Normal"/>
              <w:snapToGrid w:val="false"/>
              <w:ind w:start="-180" w:end="0"/>
              <w:jc w:val="end"/>
              <w:rPr>
                <w:sz w:val="16"/>
              </w:rPr>
            </w:pPr>
            <w:r>
              <w:rPr>
                <w:sz w:val="16"/>
              </w:rPr>
            </w:r>
          </w:p>
        </w:tc>
        <w:tc>
          <w:tcPr>
            <w:tcW w:w="6045" w:type="dxa"/>
            <w:gridSpan w:val="3"/>
            <w:tcBorders>
              <w:bottom w:val="single" w:sz="12" w:space="0" w:color="000000"/>
            </w:tcBorders>
          </w:tcPr>
          <w:p>
            <w:pPr>
              <w:pStyle w:val="Subject"/>
              <w:snapToGrid w:val="false"/>
              <w:rPr>
                <w:b/>
                <w:sz w:val="22"/>
              </w:rPr>
            </w:pPr>
            <w:r>
              <w:rPr>
                <w:b/>
                <w:sz w:val="22"/>
              </w:rPr>
            </w:r>
          </w:p>
        </w:tc>
        <w:tc>
          <w:tcPr>
            <w:tcW w:w="4135" w:type="dxa"/>
            <w:gridSpan w:val="3"/>
            <w:tcBorders>
              <w:bottom w:val="single" w:sz="12" w:space="0" w:color="000000"/>
            </w:tcBorders>
          </w:tcPr>
          <w:p>
            <w:pPr>
              <w:pStyle w:val="Normal"/>
              <w:snapToGrid w:val="false"/>
              <w:ind w:start="-180" w:end="0"/>
              <w:jc w:val="end"/>
              <w:rPr>
                <w:b/>
                <w:sz w:val="16"/>
              </w:rPr>
            </w:pPr>
            <w:r>
              <w:rPr>
                <w:b/>
                <w:sz w:val="16"/>
              </w:rPr>
            </w:r>
          </w:p>
        </w:tc>
      </w:tr>
    </w:tbl>
    <w:p>
      <w:pPr>
        <w:pStyle w:val="Normal"/>
        <w:ind w:end="540"/>
        <w:rPr>
          <w:sz w:val="22"/>
        </w:rPr>
      </w:pPr>
      <w:r>
        <w:rPr>
          <w:sz w:val="22"/>
        </w:rPr>
      </w:r>
    </w:p>
    <w:p>
      <w:pPr>
        <w:pStyle w:val="Normal"/>
        <w:ind w:end="540"/>
        <w:rPr>
          <w:sz w:val="22"/>
        </w:rPr>
      </w:pPr>
      <w:r>
        <w:rPr>
          <w:sz w:val="22"/>
        </w:rPr>
        <w:t xml:space="preserve">I am very pleased to announce the following promotions in the Enron Global Finance Legal Department effective February 1, 2001.  </w:t>
      </w:r>
    </w:p>
    <w:p>
      <w:pPr>
        <w:pStyle w:val="Normal"/>
        <w:ind w:end="540"/>
        <w:rPr>
          <w:sz w:val="22"/>
        </w:rPr>
      </w:pPr>
      <w:r>
        <w:rPr>
          <w:sz w:val="22"/>
        </w:rPr>
      </w:r>
    </w:p>
    <w:p>
      <w:pPr>
        <w:pStyle w:val="Normal"/>
        <w:ind w:end="540"/>
        <w:rPr/>
      </w:pPr>
      <w:r>
        <w:rPr>
          <w:b/>
          <w:sz w:val="22"/>
        </w:rPr>
        <w:t xml:space="preserve">Gareth Bahlmann </w:t>
      </w:r>
      <w:r>
        <w:rPr>
          <w:b/>
        </w:rPr>
        <w:t xml:space="preserve">- </w:t>
      </w:r>
      <w:r>
        <w:rPr>
          <w:sz w:val="22"/>
        </w:rPr>
        <w:t xml:space="preserve">promoted to Assistant General Counsel.  Gareth joined Enron Capital &amp; Trade Resources as Senior Counsel in June 1996.  Prior to coming to Enron, Gareth was an Associate with Baker &amp; Botts, L.L.P., and later Assistant General Counsel at Imperial Sugar Company.  He received his J.D. from New York University in 1989, and his BS in Accounting from Brigham Young University in 1986.  </w:t>
      </w:r>
    </w:p>
    <w:p>
      <w:pPr>
        <w:pStyle w:val="Normal"/>
        <w:ind w:end="540"/>
        <w:rPr>
          <w:sz w:val="22"/>
        </w:rPr>
      </w:pPr>
      <w:r>
        <w:rPr>
          <w:sz w:val="22"/>
        </w:rPr>
      </w:r>
    </w:p>
    <w:p>
      <w:pPr>
        <w:pStyle w:val="Normal"/>
        <w:tabs>
          <w:tab w:val="clear" w:pos="540"/>
        </w:tabs>
        <w:autoSpaceDE w:val="false"/>
        <w:spacing w:lineRule="atLeast" w:line="240"/>
        <w:rPr>
          <w:rFonts w:cs="Arial"/>
          <w:color w:val="000000"/>
          <w:sz w:val="20"/>
        </w:rPr>
      </w:pPr>
      <w:r>
        <w:rPr>
          <w:rFonts w:cs="Arial"/>
          <w:b/>
          <w:sz w:val="22"/>
        </w:rPr>
        <w:t xml:space="preserve">Brenda Funk </w:t>
      </w:r>
      <w:r>
        <w:rPr>
          <w:rFonts w:cs="Arial"/>
          <w:b/>
          <w:color w:val="000000"/>
          <w:sz w:val="22"/>
        </w:rPr>
        <w:t xml:space="preserve">- </w:t>
      </w:r>
      <w:r>
        <w:rPr>
          <w:rFonts w:cs="Arial"/>
          <w:sz w:val="22"/>
        </w:rPr>
        <w:t xml:space="preserve">promoted to Attorney.  </w:t>
      </w:r>
      <w:r>
        <w:rPr>
          <w:rFonts w:cs="Arial"/>
          <w:color w:val="000000"/>
          <w:sz w:val="22"/>
        </w:rPr>
        <w:t>Brenda joined Enron as a Compliance Specialist in February 1995.  While with Enron, she attended South Texas College of Law, graduating in May 1999.  After passing the Texas Bar Exam, Brenda joined the Global Finance Legal team in November 1999.</w:t>
      </w:r>
    </w:p>
    <w:p>
      <w:pPr>
        <w:pStyle w:val="Normal"/>
        <w:spacing w:lineRule="atLeast" w:line="240"/>
        <w:rPr>
          <w:rFonts w:cs="Arial"/>
          <w:b/>
          <w:color w:val="000000"/>
          <w:sz w:val="22"/>
          <w:u w:val="single"/>
        </w:rPr>
      </w:pPr>
      <w:r>
        <w:rPr>
          <w:rFonts w:cs="Arial"/>
          <w:b/>
          <w:color w:val="000000"/>
          <w:sz w:val="22"/>
          <w:u w:val="single"/>
        </w:rPr>
      </w:r>
    </w:p>
    <w:p>
      <w:pPr>
        <w:pStyle w:val="Normal"/>
        <w:ind w:end="540"/>
        <w:rPr>
          <w:sz w:val="22"/>
        </w:rPr>
      </w:pPr>
      <w:r>
        <w:rPr>
          <w:sz w:val="22"/>
        </w:rPr>
        <w:t>Please join me in congratulating Gareth and Brenda on their well-deserved promotions.</w:t>
      </w:r>
    </w:p>
    <w:p>
      <w:pPr>
        <w:pStyle w:val="Normal"/>
        <w:ind w:end="540"/>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-285115</wp:posOffset>
              </wp:positionV>
              <wp:extent cx="3877310" cy="58102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581025"/>
                      </a:xfrm>
                      <a:prstGeom prst="rect"/>
                      <a:solidFill>
                        <a:srgbClr val="FFFFFF">
                          <a:alpha val="0"/>
                        </a:srgbClr>
                      </a:solidFill>
                    </wps:spPr>
                    <wps:txbx>
                      <w:txbxContent>
                        <w:p>
                          <w:pPr>
                            <w:pStyle w:val="Heading1"/>
                            <w:rPr/>
                          </w:pPr>
                          <w:r>
                            <w:rPr/>
                            <w:t>Interoffice</w:t>
                          </w:r>
                        </w:p>
                      </w:txbxContent>
                    </wps:txbx>
                    <wps:bodyPr anchor="t" lIns="0" tIns="0" rIns="0" bIns="0">
                      <a:noAutofit/>
                    </wps:bodyPr>
                  </wps:wsp>
                </a:graphicData>
              </a:graphic>
            </wp:anchor>
          </w:drawing>
        </mc:Choice>
        <mc:Fallback>
          <w:pict>
            <v:rect fillcolor="#FFFFFF" style="position:absolute;rotation:-0;width:305.3pt;height:45.75pt;mso-wrap-distance-left:9.35pt;mso-wrap-distance-right:9.35pt;mso-wrap-distance-top:0pt;mso-wrap-distance-bottom:0pt;margin-top:-22.45pt;mso-position-vertical-relative:text;margin-left:201.3pt;mso-position-horizontal-relative:page">
              <v:fill opacity="0f"/>
              <v:textbox inset="0in,0in,0in,0in">
                <w:txbxContent>
                  <w:p>
                    <w:pPr>
                      <w:pStyle w:val="Heading1"/>
                      <w:rPr/>
                    </w:pPr>
                    <w:r>
                      <w:rPr/>
                      <w:t>Interoffice</w:t>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-56515</wp:posOffset>
              </wp:positionV>
              <wp:extent cx="3877310" cy="35242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352425"/>
                      </a:xfrm>
                      <a:prstGeom prst="rect"/>
                      <a:solidFill>
                        <a:srgbClr val="FFFFFF">
                          <a:alpha val="0"/>
                        </a:srgbClr>
                      </a:solidFill>
                    </wps:spPr>
                    <wps:txbx>
                      <w:txbxContent>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27.75pt;mso-wrap-distance-left:9.35pt;mso-wrap-distance-right:9.35pt;mso-wrap-distance-top:0pt;mso-wrap-distance-bottom:0pt;margin-top:-4.45pt;mso-position-vertical-relative:text;margin-left:201.3pt;mso-position-horizontal-relative:page">
              <v:fill opacity="0f"/>
              <v:textbox inset="0in,0in,0in,0in">
                <w:txbxContent>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ind w:hanging="0" w:start="0" w:end="540"/>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left" w:pos="1080" w:leader="none"/>
      </w:tabs>
      <w:outlineLvl w:val="3"/>
    </w:pPr>
    <w:rPr>
      <w:b/>
      <w:sz w:val="22"/>
    </w:rPr>
  </w:style>
  <w:style w:type="paragraph" w:styleId="Heading5">
    <w:name w:val="heading 5"/>
    <w:basedOn w:val="Normal"/>
    <w:next w:val="Normal"/>
    <w:qFormat/>
    <w:pPr>
      <w:keepNext w:val="true"/>
      <w:numPr>
        <w:ilvl w:val="4"/>
        <w:numId w:val="1"/>
      </w:numPr>
      <w:ind w:hanging="468" w:start="540" w:end="0"/>
      <w:outlineLvl w:val="4"/>
    </w:pPr>
    <w:rPr>
      <w:b/>
    </w:rPr>
  </w:style>
  <w:style w:type="paragraph" w:styleId="Heading6">
    <w:name w:val="heading 6"/>
    <w:basedOn w:val="Normal"/>
    <w:next w:val="Normal"/>
    <w:qFormat/>
    <w:pPr>
      <w:keepNext w:val="true"/>
      <w:numPr>
        <w:ilvl w:val="5"/>
        <w:numId w:val="1"/>
      </w:numPr>
      <w:ind w:hanging="0" w:start="0" w:end="540"/>
      <w:outlineLvl w:val="5"/>
    </w:pPr>
    <w:rPr>
      <w:sz w:val="22"/>
      <w:u w:val="single"/>
    </w:rPr>
  </w:style>
  <w:style w:type="character" w:styleId="WW8NumSt1z0">
    <w:name w:val="WW8NumSt1z0"/>
    <w:qFormat/>
    <w:rPr>
      <w:rFonts w:ascii="Times New Roman" w:hAnsi="Times New Roman" w:cs="Times New Roman"/>
      <w:sz w:val="28"/>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ind w:hanging="0" w:start="72" w:end="540"/>
    </w:pPr>
    <w:rPr/>
  </w:style>
  <w:style w:type="paragraph" w:styleId="BodyTextIndent">
    <w:name w:val="Body Text Indent"/>
    <w:basedOn w:val="Normal"/>
    <w:pPr>
      <w:ind w:hanging="0" w:start="720" w:end="0"/>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2001-01-23T12:52:00Z</dcterms:created>
  <dc:creator>Enron</dc:creator>
  <dc:description>AttachmentPlease have John sign and return the original document to me.Attached is a Services Agreement for Financial Transactions between ECT and ECTC which Greg Whalley has executed.  Confirmed that service fee would not hit John’s P &amp; L.  Please l</dc:description>
  <cp:keywords>service please john if financial</cp:keywords>
  <dc:language>en-CA</dc:language>
  <cp:lastModifiedBy>dforsyt</cp:lastModifiedBy>
  <cp:lastPrinted>2001-01-22T19:17:00Z</cp:lastPrinted>
  <dcterms:modified xsi:type="dcterms:W3CDTF">2001-01-23T12:52:00Z</dcterms:modified>
  <cp:revision>3</cp:revision>
  <dc:subject/>
  <dc:title>Eron Capital &amp; Trade Resources Memo</dc:title>
</cp:coreProperties>
</file>