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u w:val="single"/>
        </w:rPr>
      </w:pPr>
      <w:r>
        <w:rPr>
          <w:sz w:val="24"/>
        </w:rPr>
        <w:t>ENRON NORTH AMERICA CORP.</w:t>
      </w:r>
    </w:p>
    <w:p>
      <w:pPr>
        <w:pStyle w:val="Normal"/>
        <w:jc w:val="center"/>
        <w:rPr>
          <w:sz w:val="24"/>
          <w:u w:val="single"/>
        </w:rPr>
      </w:pPr>
      <w:r>
        <w:rPr>
          <w:sz w:val="24"/>
          <w:u w:val="single"/>
        </w:rPr>
      </w:r>
    </w:p>
    <w:p>
      <w:pPr>
        <w:pStyle w:val="Normal"/>
        <w:jc w:val="center"/>
        <w:rPr>
          <w:sz w:val="24"/>
          <w:u w:val="single"/>
        </w:rPr>
      </w:pPr>
      <w:r>
        <w:rPr>
          <w:sz w:val="24"/>
          <w:u w:val="single"/>
        </w:rPr>
        <w:t>Unanimous Consent of Directors</w:t>
      </w:r>
    </w:p>
    <w:p>
      <w:pPr>
        <w:pStyle w:val="Normal"/>
        <w:rPr>
          <w:sz w:val="24"/>
          <w:u w:val="single"/>
        </w:rPr>
      </w:pPr>
      <w:r>
        <w:rPr>
          <w:sz w:val="24"/>
          <w:u w:val="single"/>
        </w:rPr>
      </w:r>
    </w:p>
    <w:p>
      <w:pPr>
        <w:pStyle w:val="Normal"/>
        <w:ind w:start="720" w:end="1026"/>
        <w:jc w:val="both"/>
        <w:rPr>
          <w:sz w:val="24"/>
        </w:rPr>
      </w:pPr>
      <w:r>
        <w:rPr>
          <w:sz w:val="24"/>
        </w:rPr>
        <w:tab/>
        <w:t>The undersigned, constituting all of the directors of Enron North America Corp., a Delaware corporation (the "Company"), in accordance with the provisions of Section 141(f) of the General Corporation Law of the State of Delaware, do hereby consent to the adoption of the following resolution and, upon execution of this consent or a counterpart hereof by each of the directors listed below, do hereby adopt such resolution:</w:t>
      </w:r>
    </w:p>
    <w:p>
      <w:pPr>
        <w:pStyle w:val="Normal"/>
        <w:ind w:start="720" w:end="1026"/>
        <w:jc w:val="both"/>
        <w:rPr>
          <w:sz w:val="24"/>
        </w:rPr>
      </w:pPr>
      <w:r>
        <w:rPr>
          <w:sz w:val="24"/>
        </w:rPr>
      </w:r>
    </w:p>
    <w:p>
      <w:pPr>
        <w:pStyle w:val="Normal"/>
        <w:ind w:start="1440" w:end="2016"/>
        <w:jc w:val="both"/>
        <w:rPr>
          <w:sz w:val="24"/>
        </w:rPr>
      </w:pPr>
      <w:r>
        <w:rPr>
          <w:sz w:val="24"/>
        </w:rPr>
        <w:tab/>
        <w:t>RESOLVED, that each of the following individuals be and each of them hereby is authorized and empowered, as an agent and attorney-in-fact, for and in the name and on behalf of the Company, to execute confirmation letters in connection with the types of transactions specified for such individual below, in such form as each of these individuals, as an agent and attorney-in-fact of the Company, shall approve, and such approval shall be conclusively evidenced by the execution thereof by each such individual, as agent and attorney-in-fact for the Company, including, without limitation, by method of electronic, stamp, or handwritten signature:</w:t>
      </w:r>
    </w:p>
    <w:p>
      <w:pPr>
        <w:pStyle w:val="Normal"/>
        <w:ind w:start="720" w:end="1026"/>
        <w:jc w:val="both"/>
        <w:rPr>
          <w:sz w:val="24"/>
        </w:rPr>
      </w:pPr>
      <w:r>
        <w:rPr>
          <w:sz w:val="24"/>
        </w:rPr>
      </w:r>
    </w:p>
    <w:tbl>
      <w:tblPr>
        <w:tblW w:w="10386" w:type="dxa"/>
        <w:jc w:val="start"/>
        <w:tblInd w:w="0" w:type="dxa"/>
        <w:tblLayout w:type="fixed"/>
        <w:tblCellMar>
          <w:top w:w="0" w:type="dxa"/>
          <w:start w:w="108" w:type="dxa"/>
          <w:bottom w:w="0" w:type="dxa"/>
          <w:end w:w="108" w:type="dxa"/>
        </w:tblCellMar>
      </w:tblPr>
      <w:tblGrid>
        <w:gridCol w:w="3078"/>
        <w:gridCol w:w="7308"/>
      </w:tblGrid>
      <w:tr>
        <w:trPr/>
        <w:tc>
          <w:tcPr>
            <w:tcW w:w="3078" w:type="dxa"/>
            <w:tcBorders/>
          </w:tcPr>
          <w:p>
            <w:pPr>
              <w:pStyle w:val="Normal"/>
              <w:ind w:start="720" w:end="0"/>
              <w:rPr>
                <w:sz w:val="24"/>
              </w:rPr>
            </w:pPr>
            <w:r>
              <w:rPr>
                <w:sz w:val="24"/>
                <w:u w:val="single"/>
              </w:rPr>
              <w:t>Name</w:t>
            </w:r>
          </w:p>
        </w:tc>
        <w:tc>
          <w:tcPr>
            <w:tcW w:w="7308" w:type="dxa"/>
            <w:tcBorders/>
          </w:tcPr>
          <w:p>
            <w:pPr>
              <w:pStyle w:val="Normal"/>
              <w:ind w:start="252" w:end="0"/>
              <w:rPr>
                <w:sz w:val="24"/>
              </w:rPr>
            </w:pPr>
            <w:r>
              <w:rPr>
                <w:sz w:val="24"/>
                <w:u w:val="single"/>
              </w:rPr>
              <w:t>Type of Transactions</w:t>
            </w:r>
          </w:p>
        </w:tc>
      </w:tr>
      <w:tr>
        <w:trPr/>
        <w:tc>
          <w:tcPr>
            <w:tcW w:w="3078" w:type="dxa"/>
            <w:tcBorders/>
          </w:tcPr>
          <w:p>
            <w:pPr>
              <w:pStyle w:val="Normal"/>
              <w:snapToGrid w:val="false"/>
              <w:ind w:start="720" w:end="0"/>
              <w:rPr>
                <w:sz w:val="24"/>
                <w:u w:val="single"/>
              </w:rPr>
            </w:pPr>
            <w:r>
              <w:rPr>
                <w:sz w:val="24"/>
                <w:u w:val="single"/>
              </w:rPr>
            </w:r>
          </w:p>
        </w:tc>
        <w:tc>
          <w:tcPr>
            <w:tcW w:w="7308" w:type="dxa"/>
            <w:tcBorders/>
          </w:tcPr>
          <w:p>
            <w:pPr>
              <w:pStyle w:val="Normal"/>
              <w:snapToGrid w:val="false"/>
              <w:ind w:start="252" w:end="0"/>
              <w:rPr>
                <w:sz w:val="24"/>
                <w:u w:val="single"/>
              </w:rPr>
            </w:pPr>
            <w:r>
              <w:rPr>
                <w:sz w:val="24"/>
                <w:u w:val="single"/>
              </w:rPr>
            </w:r>
          </w:p>
        </w:tc>
      </w:tr>
      <w:tr>
        <w:trPr/>
        <w:tc>
          <w:tcPr>
            <w:tcW w:w="3078" w:type="dxa"/>
            <w:tcBorders/>
          </w:tcPr>
          <w:p>
            <w:pPr>
              <w:pStyle w:val="Normal"/>
              <w:ind w:start="720" w:end="0"/>
              <w:rPr>
                <w:sz w:val="24"/>
              </w:rPr>
            </w:pPr>
            <w:r>
              <w:rPr>
                <w:sz w:val="24"/>
              </w:rPr>
              <w:t>Laurel Adams</w:t>
            </w:r>
          </w:p>
        </w:tc>
        <w:tc>
          <w:tcPr>
            <w:tcW w:w="7308" w:type="dxa"/>
            <w:tcBorders/>
          </w:tcPr>
          <w:p>
            <w:pPr>
              <w:pStyle w:val="Normal"/>
              <w:ind w:start="252" w:end="0"/>
              <w:rPr>
                <w:sz w:val="24"/>
              </w:rPr>
            </w:pPr>
            <w:r>
              <w:rPr>
                <w:sz w:val="24"/>
              </w:rPr>
              <w:t>Equities trading; swap, option or other cash-settled derivative transactions</w:t>
            </w:r>
          </w:p>
        </w:tc>
      </w:tr>
      <w:tr>
        <w:trPr/>
        <w:tc>
          <w:tcPr>
            <w:tcW w:w="3078" w:type="dxa"/>
            <w:tcBorders/>
          </w:tcPr>
          <w:p>
            <w:pPr>
              <w:pStyle w:val="Normal"/>
              <w:ind w:start="720" w:end="0"/>
              <w:rPr>
                <w:sz w:val="24"/>
              </w:rPr>
            </w:pPr>
            <w:r>
              <w:rPr>
                <w:sz w:val="24"/>
              </w:rPr>
              <w:t xml:space="preserve">Diane Anderson </w:t>
            </w:r>
          </w:p>
        </w:tc>
        <w:tc>
          <w:tcPr>
            <w:tcW w:w="7308" w:type="dxa"/>
            <w:tcBorders/>
          </w:tcPr>
          <w:p>
            <w:pPr>
              <w:pStyle w:val="Normal"/>
              <w:ind w:start="252" w:end="0"/>
              <w:rPr>
                <w:sz w:val="24"/>
              </w:rPr>
            </w:pPr>
            <w:r>
              <w:rPr>
                <w:sz w:val="24"/>
              </w:rPr>
              <w:t>Swap, option or other cash</w:t>
              <w:noBreakHyphen/>
              <w:t>settled derivative transactions</w:t>
            </w:r>
          </w:p>
        </w:tc>
      </w:tr>
      <w:tr>
        <w:trPr/>
        <w:tc>
          <w:tcPr>
            <w:tcW w:w="3078" w:type="dxa"/>
            <w:tcBorders/>
          </w:tcPr>
          <w:p>
            <w:pPr>
              <w:pStyle w:val="Normal"/>
              <w:ind w:start="720" w:end="0"/>
              <w:rPr>
                <w:sz w:val="24"/>
              </w:rPr>
            </w:pPr>
            <w:r>
              <w:rPr>
                <w:sz w:val="24"/>
              </w:rPr>
              <w:t>Robert Bowen</w:t>
            </w:r>
          </w:p>
        </w:tc>
        <w:tc>
          <w:tcPr>
            <w:tcW w:w="7308" w:type="dxa"/>
            <w:tcBorders/>
          </w:tcPr>
          <w:p>
            <w:pPr>
              <w:pStyle w:val="Normal"/>
              <w:ind w:start="252" w:end="0"/>
              <w:rPr>
                <w:sz w:val="24"/>
              </w:rPr>
            </w:pPr>
            <w:r>
              <w:rPr>
                <w:sz w:val="24"/>
              </w:rPr>
              <w:t>Energy commodity purchase and sales transactions; swap, option or other cash-settled derivative transactions</w:t>
            </w:r>
          </w:p>
        </w:tc>
      </w:tr>
      <w:tr>
        <w:trPr/>
        <w:tc>
          <w:tcPr>
            <w:tcW w:w="3078" w:type="dxa"/>
            <w:tcBorders/>
          </w:tcPr>
          <w:p>
            <w:pPr>
              <w:pStyle w:val="Normal"/>
              <w:ind w:start="720" w:end="0"/>
              <w:rPr>
                <w:sz w:val="24"/>
              </w:rPr>
            </w:pPr>
            <w:r>
              <w:rPr>
                <w:sz w:val="24"/>
              </w:rPr>
              <w:t>Doug Gilbert-Smith</w:t>
            </w:r>
          </w:p>
        </w:tc>
        <w:tc>
          <w:tcPr>
            <w:tcW w:w="7308" w:type="dxa"/>
            <w:tcBorders/>
          </w:tcPr>
          <w:p>
            <w:pPr>
              <w:pStyle w:val="Normal"/>
              <w:ind w:start="252" w:end="0"/>
              <w:rPr>
                <w:sz w:val="24"/>
              </w:rPr>
            </w:pPr>
            <w:r>
              <w:rPr>
                <w:sz w:val="24"/>
              </w:rPr>
              <w:t>Swap, option or other cash-settled derivative transactions</w:t>
            </w:r>
          </w:p>
        </w:tc>
      </w:tr>
      <w:tr>
        <w:trPr/>
        <w:tc>
          <w:tcPr>
            <w:tcW w:w="3078" w:type="dxa"/>
            <w:tcBorders/>
          </w:tcPr>
          <w:p>
            <w:pPr>
              <w:pStyle w:val="Normal"/>
              <w:ind w:start="720" w:end="0"/>
              <w:rPr>
                <w:sz w:val="24"/>
              </w:rPr>
            </w:pPr>
            <w:r>
              <w:rPr>
                <w:sz w:val="24"/>
              </w:rPr>
              <w:t>Sheila Glover</w:t>
            </w:r>
          </w:p>
        </w:tc>
        <w:tc>
          <w:tcPr>
            <w:tcW w:w="7308" w:type="dxa"/>
            <w:tcBorders/>
          </w:tcPr>
          <w:p>
            <w:pPr>
              <w:pStyle w:val="Normal"/>
              <w:ind w:start="252" w:end="0"/>
              <w:rPr>
                <w:sz w:val="24"/>
              </w:rPr>
            </w:pPr>
            <w:r>
              <w:rPr>
                <w:sz w:val="24"/>
              </w:rPr>
              <w:t>Equities trading; swap, option or other cash</w:t>
              <w:noBreakHyphen/>
              <w:t>settled derivative transactions</w:t>
            </w:r>
          </w:p>
        </w:tc>
      </w:tr>
      <w:tr>
        <w:trPr/>
        <w:tc>
          <w:tcPr>
            <w:tcW w:w="3078" w:type="dxa"/>
            <w:tcBorders/>
          </w:tcPr>
          <w:p>
            <w:pPr>
              <w:pStyle w:val="Normal"/>
              <w:ind w:start="720" w:end="0"/>
              <w:rPr>
                <w:sz w:val="24"/>
              </w:rPr>
            </w:pPr>
            <w:r>
              <w:rPr>
                <w:sz w:val="24"/>
              </w:rPr>
              <w:t>Herbert Goodwin III</w:t>
            </w:r>
          </w:p>
        </w:tc>
        <w:tc>
          <w:tcPr>
            <w:tcW w:w="7308" w:type="dxa"/>
            <w:tcBorders/>
          </w:tcPr>
          <w:p>
            <w:pPr>
              <w:pStyle w:val="Normal"/>
              <w:ind w:start="252" w:end="0"/>
              <w:rPr>
                <w:sz w:val="24"/>
              </w:rPr>
            </w:pPr>
            <w:r>
              <w:rPr>
                <w:sz w:val="24"/>
              </w:rPr>
              <w:t>Energy commodity purchase and sale transactions</w:t>
            </w:r>
          </w:p>
        </w:tc>
      </w:tr>
      <w:tr>
        <w:trPr/>
        <w:tc>
          <w:tcPr>
            <w:tcW w:w="3078" w:type="dxa"/>
            <w:tcBorders/>
          </w:tcPr>
          <w:p>
            <w:pPr>
              <w:pStyle w:val="Normal"/>
              <w:ind w:start="720" w:end="0"/>
              <w:rPr>
                <w:sz w:val="24"/>
              </w:rPr>
            </w:pPr>
            <w:r>
              <w:rPr>
                <w:sz w:val="24"/>
              </w:rPr>
              <w:t>Larry ‘Joe’ Hunter</w:t>
            </w:r>
          </w:p>
        </w:tc>
        <w:tc>
          <w:tcPr>
            <w:tcW w:w="7308" w:type="dxa"/>
            <w:tcBorders/>
          </w:tcPr>
          <w:p>
            <w:pPr>
              <w:pStyle w:val="Normal"/>
              <w:ind w:start="252" w:end="0"/>
              <w:rPr>
                <w:sz w:val="24"/>
              </w:rPr>
            </w:pPr>
            <w:r>
              <w:rPr>
                <w:sz w:val="24"/>
              </w:rPr>
              <w:t>Energy commodity purchase and sales transactions; swap, option or other cash-settled derivative transactions</w:t>
            </w:r>
          </w:p>
        </w:tc>
      </w:tr>
      <w:tr>
        <w:trPr/>
        <w:tc>
          <w:tcPr>
            <w:tcW w:w="3078" w:type="dxa"/>
            <w:tcBorders/>
          </w:tcPr>
          <w:p>
            <w:pPr>
              <w:pStyle w:val="Normal"/>
              <w:ind w:start="720" w:end="0"/>
              <w:rPr>
                <w:sz w:val="24"/>
              </w:rPr>
            </w:pPr>
            <w:r>
              <w:rPr>
                <w:sz w:val="24"/>
              </w:rPr>
              <w:t>Linda Loukanis</w:t>
            </w:r>
          </w:p>
        </w:tc>
        <w:tc>
          <w:tcPr>
            <w:tcW w:w="7308" w:type="dxa"/>
            <w:tcBorders/>
          </w:tcPr>
          <w:p>
            <w:pPr>
              <w:pStyle w:val="Normal"/>
              <w:ind w:start="252" w:end="0"/>
              <w:rPr>
                <w:sz w:val="24"/>
              </w:rPr>
            </w:pPr>
            <w:r>
              <w:rPr>
                <w:sz w:val="24"/>
              </w:rPr>
              <w:t>Energy commodity and emissions purchase and sale transactions</w:t>
            </w:r>
          </w:p>
        </w:tc>
      </w:tr>
      <w:tr>
        <w:trPr/>
        <w:tc>
          <w:tcPr>
            <w:tcW w:w="3078" w:type="dxa"/>
            <w:tcBorders/>
          </w:tcPr>
          <w:p>
            <w:pPr>
              <w:pStyle w:val="Normal"/>
              <w:ind w:start="720" w:end="0"/>
              <w:rPr>
                <w:sz w:val="24"/>
              </w:rPr>
            </w:pPr>
            <w:r>
              <w:rPr>
                <w:sz w:val="24"/>
              </w:rPr>
              <w:t>Lisa McClendon</w:t>
            </w:r>
          </w:p>
        </w:tc>
        <w:tc>
          <w:tcPr>
            <w:tcW w:w="7308" w:type="dxa"/>
            <w:tcBorders/>
          </w:tcPr>
          <w:p>
            <w:pPr>
              <w:pStyle w:val="Normal"/>
              <w:ind w:start="252" w:end="0"/>
              <w:rPr>
                <w:sz w:val="24"/>
              </w:rPr>
            </w:pPr>
            <w:r>
              <w:rPr>
                <w:sz w:val="24"/>
              </w:rPr>
              <w:t>Forest products and steel commodity purchase and sale transactions</w:t>
            </w:r>
          </w:p>
        </w:tc>
      </w:tr>
      <w:tr>
        <w:trPr/>
        <w:tc>
          <w:tcPr>
            <w:tcW w:w="3078" w:type="dxa"/>
            <w:tcBorders/>
          </w:tcPr>
          <w:p>
            <w:pPr>
              <w:pStyle w:val="Normal"/>
              <w:ind w:start="720" w:end="0"/>
              <w:rPr>
                <w:sz w:val="24"/>
              </w:rPr>
            </w:pPr>
            <w:r>
              <w:rPr>
                <w:sz w:val="24"/>
              </w:rPr>
              <w:t>Melissa Murphy</w:t>
            </w:r>
          </w:p>
        </w:tc>
        <w:tc>
          <w:tcPr>
            <w:tcW w:w="7308" w:type="dxa"/>
            <w:tcBorders/>
          </w:tcPr>
          <w:p>
            <w:pPr>
              <w:pStyle w:val="Normal"/>
              <w:ind w:start="252" w:end="0"/>
              <w:rPr>
                <w:sz w:val="24"/>
              </w:rPr>
            </w:pPr>
            <w:r>
              <w:rPr>
                <w:sz w:val="24"/>
              </w:rPr>
              <w:t>Swap, option or other cash</w:t>
              <w:noBreakHyphen/>
              <w:t>settled derivative transactions</w:t>
            </w:r>
          </w:p>
        </w:tc>
      </w:tr>
      <w:tr>
        <w:trPr/>
        <w:tc>
          <w:tcPr>
            <w:tcW w:w="3078" w:type="dxa"/>
            <w:tcBorders/>
          </w:tcPr>
          <w:p>
            <w:pPr>
              <w:pStyle w:val="Normal"/>
              <w:ind w:start="720" w:end="0"/>
              <w:rPr>
                <w:sz w:val="24"/>
              </w:rPr>
            </w:pPr>
            <w:r>
              <w:rPr>
                <w:sz w:val="24"/>
              </w:rPr>
              <w:t>Bianca Ornelas</w:t>
            </w:r>
          </w:p>
        </w:tc>
        <w:tc>
          <w:tcPr>
            <w:tcW w:w="7308" w:type="dxa"/>
            <w:tcBorders/>
          </w:tcPr>
          <w:p>
            <w:pPr>
              <w:pStyle w:val="Normal"/>
              <w:ind w:start="252" w:end="0"/>
              <w:rPr>
                <w:sz w:val="24"/>
              </w:rPr>
            </w:pPr>
            <w:r>
              <w:rPr>
                <w:sz w:val="24"/>
              </w:rPr>
              <w:t>Swap, option or other cash-settled derivative transactions</w:t>
            </w:r>
          </w:p>
        </w:tc>
      </w:tr>
      <w:tr>
        <w:trPr/>
        <w:tc>
          <w:tcPr>
            <w:tcW w:w="3078" w:type="dxa"/>
            <w:tcBorders/>
          </w:tcPr>
          <w:p>
            <w:pPr>
              <w:pStyle w:val="Normal"/>
              <w:ind w:start="720" w:end="0"/>
              <w:rPr>
                <w:sz w:val="24"/>
              </w:rPr>
            </w:pPr>
            <w:r>
              <w:rPr>
                <w:sz w:val="24"/>
              </w:rPr>
              <w:t>Kim Theriot</w:t>
            </w:r>
          </w:p>
        </w:tc>
        <w:tc>
          <w:tcPr>
            <w:tcW w:w="7308" w:type="dxa"/>
            <w:tcBorders/>
          </w:tcPr>
          <w:p>
            <w:pPr>
              <w:pStyle w:val="Normal"/>
              <w:ind w:start="252" w:end="0"/>
              <w:rPr>
                <w:sz w:val="24"/>
              </w:rPr>
            </w:pPr>
            <w:r>
              <w:rPr>
                <w:sz w:val="24"/>
              </w:rPr>
              <w:t>Swap, option or other cash</w:t>
              <w:noBreakHyphen/>
              <w:t>settled derivative transactions</w:t>
            </w:r>
          </w:p>
        </w:tc>
      </w:tr>
      <w:tr>
        <w:trPr/>
        <w:tc>
          <w:tcPr>
            <w:tcW w:w="3078" w:type="dxa"/>
            <w:tcBorders/>
          </w:tcPr>
          <w:p>
            <w:pPr>
              <w:pStyle w:val="Normal"/>
              <w:ind w:start="720" w:end="0"/>
              <w:rPr>
                <w:sz w:val="24"/>
              </w:rPr>
            </w:pPr>
            <w:r>
              <w:rPr>
                <w:sz w:val="24"/>
              </w:rPr>
              <w:t>Ellen Wallumrod</w:t>
            </w:r>
          </w:p>
        </w:tc>
        <w:tc>
          <w:tcPr>
            <w:tcW w:w="7308" w:type="dxa"/>
            <w:tcBorders/>
          </w:tcPr>
          <w:p>
            <w:pPr>
              <w:pStyle w:val="Normal"/>
              <w:ind w:start="252" w:end="0"/>
              <w:rPr>
                <w:sz w:val="24"/>
              </w:rPr>
            </w:pPr>
            <w:r>
              <w:rPr>
                <w:sz w:val="24"/>
              </w:rPr>
              <w:t>Energy commodity purchase and sales transactions</w:t>
            </w:r>
          </w:p>
        </w:tc>
      </w:tr>
      <w:tr>
        <w:trPr/>
        <w:tc>
          <w:tcPr>
            <w:tcW w:w="3078" w:type="dxa"/>
            <w:tcBorders/>
          </w:tcPr>
          <w:p>
            <w:pPr>
              <w:pStyle w:val="Normal"/>
              <w:ind w:start="720" w:end="0"/>
              <w:rPr>
                <w:sz w:val="24"/>
              </w:rPr>
            </w:pPr>
            <w:r>
              <w:rPr>
                <w:sz w:val="24"/>
              </w:rPr>
              <w:t>Jeff Sorenson</w:t>
            </w:r>
          </w:p>
        </w:tc>
        <w:tc>
          <w:tcPr>
            <w:tcW w:w="7308" w:type="dxa"/>
            <w:tcBorders/>
          </w:tcPr>
          <w:p>
            <w:pPr>
              <w:pStyle w:val="Normal"/>
              <w:ind w:start="252" w:end="0"/>
              <w:rPr>
                <w:sz w:val="24"/>
              </w:rPr>
            </w:pPr>
            <w:r>
              <w:rPr>
                <w:sz w:val="24"/>
              </w:rPr>
              <w:t>Energy commodity and emissions purchase and sales transactions</w:t>
            </w:r>
          </w:p>
        </w:tc>
      </w:tr>
      <w:tr>
        <w:trPr/>
        <w:tc>
          <w:tcPr>
            <w:tcW w:w="3078" w:type="dxa"/>
            <w:tcBorders/>
          </w:tcPr>
          <w:p>
            <w:pPr>
              <w:pStyle w:val="Normal"/>
              <w:ind w:start="720" w:end="0"/>
              <w:rPr>
                <w:sz w:val="24"/>
              </w:rPr>
            </w:pPr>
            <w:r>
              <w:rPr>
                <w:sz w:val="24"/>
              </w:rPr>
              <w:t>Jorge A. Garcia</w:t>
            </w:r>
          </w:p>
        </w:tc>
        <w:tc>
          <w:tcPr>
            <w:tcW w:w="7308" w:type="dxa"/>
            <w:tcBorders/>
          </w:tcPr>
          <w:p>
            <w:pPr>
              <w:pStyle w:val="Normal"/>
              <w:ind w:start="252" w:end="0"/>
              <w:rPr>
                <w:sz w:val="24"/>
              </w:rPr>
            </w:pPr>
            <w:r>
              <w:rPr>
                <w:sz w:val="24"/>
              </w:rPr>
              <w:t>Equities trading; swap, option or other cash-settled derivative transactions</w:t>
            </w:r>
          </w:p>
        </w:tc>
      </w:tr>
    </w:tbl>
    <w:p>
      <w:pPr>
        <w:pStyle w:val="Normal"/>
        <w:rPr>
          <w:sz w:val="24"/>
        </w:rPr>
      </w:pPr>
      <w:r>
        <w:rPr>
          <w:sz w:val="24"/>
        </w:rPr>
      </w:r>
    </w:p>
    <w:p>
      <w:pPr>
        <w:pStyle w:val="Normal"/>
        <w:ind w:start="1440" w:end="2016"/>
        <w:jc w:val="both"/>
        <w:rPr>
          <w:sz w:val="24"/>
        </w:rPr>
      </w:pPr>
      <w:r>
        <w:rPr>
          <w:sz w:val="24"/>
        </w:rPr>
        <w:tab/>
        <w:t xml:space="preserve">FURTHER RESOLVED, that each of the Chairman of the Board, any Managing Director, the President and Chief Executive Officer, any Vice President of the Company or each individual designated above as an agent and attorney-in-fact for the Company, for and in the name and on behalf of the Company, be and each of them hereby is authorized, empowered, and directed (any one of them acting alone), to take all such further action, to execute and deliver all such further certificates, instruments, and documents as any such officer or agent and attorney-in-fact of the Company may deem necessary, appropriate, or advisable in order to effectuate the intentions of the foregoing resolutions; and </w:t>
      </w:r>
    </w:p>
    <w:p>
      <w:pPr>
        <w:pStyle w:val="Normal"/>
        <w:ind w:start="1440" w:end="2016"/>
        <w:jc w:val="both"/>
        <w:rPr>
          <w:sz w:val="24"/>
        </w:rPr>
      </w:pPr>
      <w:r>
        <w:rPr>
          <w:sz w:val="24"/>
        </w:rPr>
      </w:r>
    </w:p>
    <w:p>
      <w:pPr>
        <w:pStyle w:val="Normal"/>
        <w:ind w:start="1440" w:end="2016"/>
        <w:jc w:val="both"/>
        <w:rPr>
          <w:sz w:val="24"/>
        </w:rPr>
      </w:pPr>
      <w:r>
        <w:rPr>
          <w:sz w:val="24"/>
        </w:rPr>
        <w:tab/>
        <w:t>FURTHER RESOLVED, that the execution and delivery of any document authorized by the foregoing resolutions or any document executed in the accomplishment of any action or actions so authorized by any of said officers or agents and attorneys-in-fact of the Company shall be the enforceable and binding act and obligation of the Company without the necessity of the signature or attestation of any other officer of the Company or the affixing of the corporate seal; and</w:t>
      </w:r>
    </w:p>
    <w:p>
      <w:pPr>
        <w:pStyle w:val="Normal"/>
        <w:ind w:start="1440" w:end="2016"/>
        <w:jc w:val="both"/>
        <w:rPr>
          <w:sz w:val="24"/>
        </w:rPr>
      </w:pPr>
      <w:r>
        <w:rPr>
          <w:sz w:val="24"/>
        </w:rPr>
      </w:r>
    </w:p>
    <w:p>
      <w:pPr>
        <w:pStyle w:val="Normal"/>
        <w:ind w:start="1440" w:end="2016"/>
        <w:jc w:val="both"/>
        <w:rPr>
          <w:sz w:val="24"/>
        </w:rPr>
      </w:pPr>
      <w:r>
        <w:rPr>
          <w:sz w:val="24"/>
        </w:rPr>
        <w:tab/>
        <w:t>FURTHER RESOLVED, that all acts, transactions, or agreements undertaken on and subsequent to May 1, 2001, by any of the officers or representatives of the Company in its name in connection with the foregoing matters on or subare hereby ratified, confirmed, and adopted by the Company in all respects; and</w:t>
      </w:r>
    </w:p>
    <w:p>
      <w:pPr>
        <w:pStyle w:val="Normal"/>
        <w:ind w:start="1440" w:end="2016"/>
        <w:jc w:val="both"/>
        <w:rPr>
          <w:sz w:val="24"/>
        </w:rPr>
      </w:pPr>
      <w:r>
        <w:rPr>
          <w:sz w:val="24"/>
        </w:rPr>
      </w:r>
    </w:p>
    <w:p>
      <w:pPr>
        <w:pStyle w:val="Normal"/>
        <w:ind w:start="1440" w:end="2016"/>
        <w:jc w:val="both"/>
        <w:rPr/>
      </w:pPr>
      <w:r>
        <w:rPr>
          <w:sz w:val="24"/>
        </w:rPr>
        <w:tab/>
      </w:r>
      <w:r>
        <w:rPr>
          <w:bCs/>
          <w:sz w:val="24"/>
        </w:rPr>
        <w:t xml:space="preserve">FURTHER RESOLVED, </w:t>
      </w:r>
      <w:r>
        <w:rPr>
          <w:sz w:val="24"/>
        </w:rPr>
        <w:t>that the appointment of the preceding individuals to act as agents and attorneys-in-fact for and in the name and on behalf of the Company to execute confirmation letters in connection with the types of transactions specified for such individual shall expire one (1) year from the effective date hereof; and</w:t>
      </w:r>
    </w:p>
    <w:p>
      <w:pPr>
        <w:pStyle w:val="Normal"/>
        <w:ind w:start="1440" w:end="2016"/>
        <w:jc w:val="both"/>
        <w:rPr>
          <w:sz w:val="24"/>
        </w:rPr>
      </w:pPr>
      <w:r>
        <w:rPr>
          <w:sz w:val="24"/>
        </w:rPr>
      </w:r>
    </w:p>
    <w:p>
      <w:pPr>
        <w:pStyle w:val="Normal"/>
        <w:ind w:start="1440" w:end="2016"/>
        <w:jc w:val="both"/>
        <w:rPr>
          <w:sz w:val="24"/>
        </w:rPr>
      </w:pPr>
      <w:r>
        <w:rPr>
          <w:sz w:val="24"/>
        </w:rPr>
        <w:tab/>
        <w:t>FURTHER RESOLVED, that the foregoing Resolutions shall supersede any prior resolutions dealing with the subject matter covered herein.</w:t>
      </w:r>
    </w:p>
    <w:p>
      <w:pPr>
        <w:pStyle w:val="Normal"/>
        <w:ind w:start="1440" w:end="2016"/>
        <w:jc w:val="both"/>
        <w:rPr>
          <w:sz w:val="24"/>
        </w:rPr>
      </w:pPr>
      <w:r>
        <w:rPr>
          <w:sz w:val="24"/>
        </w:rPr>
      </w:r>
    </w:p>
    <w:p>
      <w:pPr>
        <w:pStyle w:val="Normal"/>
        <w:ind w:start="720" w:end="1026"/>
        <w:rPr>
          <w:sz w:val="24"/>
        </w:rPr>
      </w:pPr>
      <w:r>
        <w:rPr>
          <w:sz w:val="24"/>
        </w:rPr>
        <w:t>Dated as of September 14, 2001.</w:t>
      </w:r>
    </w:p>
    <w:p>
      <w:pPr>
        <w:pStyle w:val="Normal"/>
        <w:ind w:start="720" w:end="1026"/>
        <w:rPr>
          <w:sz w:val="24"/>
        </w:rPr>
      </w:pPr>
      <w:r>
        <w:rPr>
          <w:sz w:val="24"/>
        </w:rPr>
      </w:r>
    </w:p>
    <w:p>
      <w:pPr>
        <w:pStyle w:val="Normal"/>
        <w:ind w:start="720" w:end="1026"/>
        <w:rPr>
          <w:sz w:val="24"/>
        </w:rPr>
      </w:pPr>
      <w:r>
        <w:rPr>
          <w:sz w:val="24"/>
        </w:rPr>
      </w:r>
    </w:p>
    <w:p>
      <w:pPr>
        <w:pStyle w:val="Normal"/>
        <w:ind w:start="720" w:end="1026"/>
        <w:rPr>
          <w:sz w:val="24"/>
        </w:rPr>
      </w:pPr>
      <w:r>
        <w:rPr>
          <w:sz w:val="24"/>
        </w:rPr>
      </w:r>
    </w:p>
    <w:p>
      <w:pPr>
        <w:pStyle w:val="Normal"/>
        <w:ind w:start="720" w:end="1026"/>
        <w:rPr>
          <w:sz w:val="24"/>
        </w:rPr>
      </w:pPr>
      <w:r>
        <w:rPr>
          <w:sz w:val="24"/>
        </w:rPr>
        <w:t>______________________________</w:t>
        <w:tab/>
        <w:tab/>
        <w:t>______________________________</w:t>
      </w:r>
    </w:p>
    <w:p>
      <w:pPr>
        <w:pStyle w:val="Normal"/>
        <w:ind w:start="720" w:end="1026"/>
        <w:rPr>
          <w:sz w:val="24"/>
        </w:rPr>
      </w:pPr>
      <w:r>
        <w:rPr>
          <w:sz w:val="24"/>
        </w:rPr>
        <w:t>Mark A. Frevert</w:t>
        <w:tab/>
        <w:tab/>
        <w:tab/>
        <w:tab/>
        <w:tab/>
        <w:t>Mark E. Haedicke</w:t>
      </w:r>
    </w:p>
    <w:p>
      <w:pPr>
        <w:pStyle w:val="Normal"/>
        <w:ind w:start="720" w:end="1026"/>
        <w:rPr>
          <w:sz w:val="24"/>
        </w:rPr>
      </w:pPr>
      <w:r>
        <w:rPr>
          <w:sz w:val="24"/>
        </w:rPr>
      </w:r>
    </w:p>
    <w:p>
      <w:pPr>
        <w:pStyle w:val="Normal"/>
        <w:ind w:start="720" w:end="1026"/>
        <w:rPr>
          <w:sz w:val="24"/>
        </w:rPr>
      </w:pPr>
      <w:r>
        <w:rPr>
          <w:sz w:val="24"/>
        </w:rPr>
      </w:r>
    </w:p>
    <w:p>
      <w:pPr>
        <w:pStyle w:val="Normal"/>
        <w:ind w:start="720" w:end="1026"/>
        <w:rPr>
          <w:sz w:val="24"/>
        </w:rPr>
      </w:pPr>
      <w:r>
        <w:rPr>
          <w:sz w:val="24"/>
        </w:rPr>
      </w:r>
    </w:p>
    <w:p>
      <w:pPr>
        <w:pStyle w:val="Normal"/>
        <w:ind w:start="720" w:end="1026"/>
        <w:rPr>
          <w:sz w:val="24"/>
        </w:rPr>
      </w:pPr>
      <w:r>
        <w:rPr>
          <w:sz w:val="24"/>
        </w:rPr>
        <w:t>______________________________</w:t>
      </w:r>
    </w:p>
    <w:p>
      <w:pPr>
        <w:pStyle w:val="Heading3"/>
        <w:rPr/>
      </w:pPr>
      <w:r>
        <w:rPr/>
        <w:t>Michael S. McConnell</w:t>
      </w:r>
    </w:p>
    <w:sectPr>
      <w:footerReference w:type="default" r:id="rId2"/>
      <w:type w:val="nextPage"/>
      <w:pgSz w:w="12240" w:h="15840"/>
      <w:pgMar w:left="1080" w:right="504" w:gutter="0" w:header="0" w:top="1152" w:footer="108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O:\legal\mmaxwel\Consents\EGFENAUC082101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720" w:end="0"/>
      <w:jc w:val="both"/>
      <w:outlineLvl w:val="0"/>
    </w:pPr>
    <w:rPr>
      <w:sz w:val="24"/>
    </w:rPr>
  </w:style>
  <w:style w:type="paragraph" w:styleId="Heading2">
    <w:name w:val="heading 2"/>
    <w:basedOn w:val="Normal"/>
    <w:next w:val="Normal"/>
    <w:qFormat/>
    <w:pPr>
      <w:keepNext w:val="true"/>
      <w:numPr>
        <w:ilvl w:val="1"/>
        <w:numId w:val="1"/>
      </w:numPr>
      <w:jc w:val="both"/>
      <w:outlineLvl w:val="1"/>
    </w:pPr>
    <w:rPr>
      <w:sz w:val="24"/>
    </w:rPr>
  </w:style>
  <w:style w:type="paragraph" w:styleId="Heading3">
    <w:name w:val="heading 3"/>
    <w:basedOn w:val="Normal"/>
    <w:next w:val="Normal"/>
    <w:qFormat/>
    <w:pPr>
      <w:keepNext w:val="true"/>
      <w:numPr>
        <w:ilvl w:val="2"/>
        <w:numId w:val="1"/>
      </w:numPr>
      <w:ind w:hanging="0" w:start="720" w:end="1026"/>
      <w:outlineLvl w:val="2"/>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left" w:pos="720" w:leader="none"/>
      </w:tabs>
      <w:spacing w:lineRule="atLeast" w:line="24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1">
    <w:name w:val="Style"/>
    <w:qFormat/>
    <w:pPr>
      <w:widowControl w:val="false"/>
      <w:bidi w:val="0"/>
    </w:pPr>
    <w:rPr>
      <w:rFonts w:ascii="Times New Roman" w:hAnsi="Times New Roman" w:eastAsia="Times New Roman" w:cs="Times New Roman"/>
      <w:color w:val="auto"/>
      <w:sz w:val="24"/>
      <w:szCs w:val="20"/>
      <w:lang w:val="en-US" w:bidi="ar-SA" w:eastAsia="zh-CN"/>
    </w:rPr>
  </w:style>
  <w:style w:type="paragraph" w:styleId="Style12">
    <w:name w:val="Style1"/>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2880" w:start="3600" w:end="0"/>
      <w:jc w:val="both"/>
    </w:pPr>
    <w:rPr>
      <w:sz w:val="24"/>
    </w:rPr>
  </w:style>
  <w:style w:type="paragraph" w:styleId="BlockText">
    <w:name w:val="Block Text"/>
    <w:basedOn w:val="Normal"/>
    <w:qFormat/>
    <w:pPr>
      <w:ind w:hanging="2880" w:start="3600" w:end="171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2001-08-29T13:39:00Z</dcterms:created>
  <dc:creator>igarcia</dc:creator>
  <dc:description/>
  <dc:language>en-CA</dc:language>
  <cp:lastModifiedBy>mmaxwel</cp:lastModifiedBy>
  <cp:lastPrinted>2001-08-22T09:47:00Z</cp:lastPrinted>
  <dcterms:modified xsi:type="dcterms:W3CDTF">2001-09-25T12:02:00Z</dcterms:modified>
  <cp:revision>3</cp:revision>
  <dc:subject/>
  <dc:title>ECT MERCHANT INVESTMENTS CORP</dc:title>
</cp:coreProperties>
</file>