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840" w:leader="none"/>
        </w:tabs>
        <w:rPr>
          <w:rFonts w:ascii="Times New Roman" w:hAnsi="Times New Roman" w:cs="Times New Roman"/>
          <w:b/>
          <w:sz w:val="32"/>
        </w:rPr>
      </w:pPr>
      <w:r>
        <w:rPr>
          <w:rFonts w:cs="Times New Roman" w:ascii="Times New Roman" w:hAnsi="Times New Roman"/>
          <w:b/>
          <w:sz w:val="32"/>
        </w:rPr>
        <w:object w:dxaOrig="5669" w:dyaOrig="574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pt;margin-top:-24pt;width:74.9pt;height:75.9pt;mso-wrap-distance-left:9.05pt;mso-wrap-distance-right:9.05pt;mso-position-horizontal-relative:text;mso-position-vertical-relative:text" filled="f" o:ole="">
            <v:imagedata r:id="rId3" o:title=""/>
            <w10:wrap type="topAndBottom"/>
          </v:shape>
          <o:OLEObject Type="Embed" ProgID="" ShapeID="ole_rId2" DrawAspect="Content" ObjectID="_1649880248" r:id="rId2"/>
        </w:object>
        <w:tab/>
      </w:r>
      <w:r>
        <mc:AlternateContent>
          <mc:Choice Requires="wps">
            <w:drawing>
              <wp:anchor behindDoc="0" distT="0" distB="0" distL="114935" distR="114935" simplePos="0" locked="0" layoutInCell="1" allowOverlap="1" relativeHeight="3">
                <wp:simplePos x="0" y="0"/>
                <wp:positionH relativeFrom="column">
                  <wp:posOffset>914400</wp:posOffset>
                </wp:positionH>
                <wp:positionV relativeFrom="paragraph">
                  <wp:posOffset>137160</wp:posOffset>
                </wp:positionV>
                <wp:extent cx="1645920" cy="381000"/>
                <wp:effectExtent l="0" t="0" r="0" b="0"/>
                <wp:wrapNone/>
                <wp:docPr id="1" name="Frame1"/>
                <a:graphic xmlns:a="http://schemas.openxmlformats.org/drawingml/2006/main">
                  <a:graphicData uri="http://schemas.microsoft.com/office/word/2010/wordprocessingShape">
                    <wps:wsp>
                      <wps:cNvSpPr txBox="1"/>
                      <wps:spPr>
                        <a:xfrm>
                          <a:off x="0" y="0"/>
                          <a:ext cx="1645920" cy="381000"/>
                        </a:xfrm>
                        <a:prstGeom prst="rect"/>
                        <a:solidFill>
                          <a:srgbClr val="FFFFFF">
                            <a:alpha val="0"/>
                          </a:srgbClr>
                        </a:solidFill>
                      </wps:spPr>
                      <wps:txbx>
                        <w:txbxContent>
                          <w:p>
                            <w:pPr>
                              <w:pStyle w:val="Normal"/>
                              <w:rPr>
                                <w:b/>
                                <w:color w:val="000000"/>
                                <w:sz w:val="18"/>
                                <w:lang w:eastAsia="en-US"/>
                              </w:rPr>
                            </w:pPr>
                            <w:r>
                              <w:rPr>
                                <w:b/>
                                <w:color w:val="000000"/>
                                <w:sz w:val="18"/>
                                <w:lang w:eastAsia="en-US"/>
                              </w:rPr>
                              <w:t xml:space="preserve">Enron Global Exploration </w:t>
                            </w:r>
                          </w:p>
                          <w:p>
                            <w:pPr>
                              <w:pStyle w:val="Normal"/>
                              <w:spacing w:before="40" w:after="0"/>
                              <w:rPr>
                                <w:b/>
                                <w:color w:val="000000"/>
                                <w:sz w:val="18"/>
                                <w:lang w:eastAsia="en-US"/>
                              </w:rPr>
                            </w:pPr>
                            <w:r>
                              <w:rPr>
                                <w:b/>
                                <w:color w:val="000000"/>
                                <w:sz w:val="18"/>
                                <w:lang w:eastAsia="en-US"/>
                              </w:rPr>
                              <w:t>&amp; Production Inc.</w:t>
                            </w:r>
                          </w:p>
                        </w:txbxContent>
                      </wps:txbx>
                      <wps:bodyPr anchor="t" lIns="92075" tIns="46355" rIns="92075" bIns="46355">
                        <a:spAutoFit/>
                      </wps:bodyPr>
                    </wps:wsp>
                  </a:graphicData>
                </a:graphic>
              </wp:anchor>
            </w:drawing>
          </mc:Choice>
          <mc:Fallback>
            <w:pict>
              <v:rect fillcolor="#FFFFFF" style="position:absolute;rotation:-0;width:129.6pt;height:30pt;mso-wrap-distance-left:9.05pt;mso-wrap-distance-right:9.05pt;mso-wrap-distance-top:0pt;mso-wrap-distance-bottom:0pt;margin-top:10.8pt;mso-position-vertical-relative:text;margin-left:72pt;mso-position-horizontal-relative:text">
                <v:fill opacity="0f"/>
                <v:textbox inset="0.100694444444444in,0.0506944444444444in,0.100694444444444in,0.0506944444444444in">
                  <w:txbxContent>
                    <w:p>
                      <w:pPr>
                        <w:pStyle w:val="Normal"/>
                        <w:rPr>
                          <w:b/>
                          <w:color w:val="000000"/>
                          <w:sz w:val="18"/>
                          <w:lang w:eastAsia="en-US"/>
                        </w:rPr>
                      </w:pPr>
                      <w:r>
                        <w:rPr>
                          <w:b/>
                          <w:color w:val="000000"/>
                          <w:sz w:val="18"/>
                          <w:lang w:eastAsia="en-US"/>
                        </w:rPr>
                        <w:t xml:space="preserve">Enron Global Exploration </w:t>
                      </w:r>
                    </w:p>
                    <w:p>
                      <w:pPr>
                        <w:pStyle w:val="Normal"/>
                        <w:spacing w:before="40" w:after="0"/>
                        <w:rPr>
                          <w:b/>
                          <w:color w:val="000000"/>
                          <w:sz w:val="18"/>
                          <w:lang w:eastAsia="en-US"/>
                        </w:rPr>
                      </w:pPr>
                      <w:r>
                        <w:rPr>
                          <w:b/>
                          <w:color w:val="000000"/>
                          <w:sz w:val="18"/>
                          <w:lang w:eastAsia="en-US"/>
                        </w:rPr>
                        <w:t>&amp; Production Inc.</w:t>
                      </w:r>
                    </w:p>
                  </w:txbxContent>
                </v:textbox>
                <w10:wrap type="none"/>
              </v:rect>
            </w:pict>
          </mc:Fallback>
        </mc:AlternateContent>
      </w:r>
    </w:p>
    <w:p>
      <w:pPr>
        <w:pStyle w:val="Normal"/>
        <w:tabs>
          <w:tab w:val="clear" w:pos="720"/>
          <w:tab w:val="left" w:pos="5760" w:leader="none"/>
        </w:tabs>
        <w:rPr/>
      </w:pPr>
      <w:r>
        <w:rPr>
          <w:rFonts w:cs="Times New Roman" w:ascii="Times New Roman" w:hAnsi="Times New Roman"/>
          <w:sz w:val="20"/>
        </w:rPr>
        <w:tab/>
      </w:r>
      <w:r>
        <w:rPr>
          <w:rFonts w:cs="Times New Roman" w:ascii="Times New Roman" w:hAnsi="Times New Roman"/>
          <w:b/>
          <w:sz w:val="20"/>
        </w:rPr>
        <w:t>Interoffice Memorandum</w:t>
      </w:r>
      <w:r>
        <w:rPr/>
        <w:tab/>
        <w:tab/>
      </w:r>
    </w:p>
    <w:tbl>
      <w:tblPr>
        <w:tblW w:w="10655" w:type="dxa"/>
        <w:jc w:val="start"/>
        <w:tblInd w:w="0" w:type="dxa"/>
        <w:tblLayout w:type="fixed"/>
        <w:tblCellMar>
          <w:top w:w="0" w:type="dxa"/>
          <w:start w:w="108" w:type="dxa"/>
          <w:bottom w:w="0" w:type="dxa"/>
          <w:end w:w="108" w:type="dxa"/>
        </w:tblCellMar>
      </w:tblPr>
      <w:tblGrid>
        <w:gridCol w:w="1094"/>
        <w:gridCol w:w="4680"/>
        <w:gridCol w:w="1526"/>
        <w:gridCol w:w="3355"/>
      </w:tblGrid>
      <w:tr>
        <w:trPr>
          <w:trHeight w:val="480" w:hRule="atLeast"/>
        </w:trPr>
        <w:tc>
          <w:tcPr>
            <w:tcW w:w="1094" w:type="dxa"/>
            <w:tcBorders/>
          </w:tcPr>
          <w:p>
            <w:pPr>
              <w:pStyle w:val="Normal"/>
              <w:tabs>
                <w:tab w:val="clear" w:pos="720"/>
                <w:tab w:val="left" w:pos="1080" w:leader="none"/>
                <w:tab w:val="left" w:pos="6840" w:leader="none"/>
              </w:tabs>
              <w:snapToGrid w:val="false"/>
              <w:rPr>
                <w:rFonts w:ascii="Times New Roman" w:hAnsi="Times New Roman" w:cs="Times New Roman"/>
                <w:b/>
              </w:rPr>
            </w:pPr>
            <w:r>
              <w:rPr>
                <w:rFonts w:cs="Times New Roman" w:ascii="Times New Roman" w:hAnsi="Times New Roman"/>
                <w:b/>
              </w:rPr>
            </w:r>
          </w:p>
          <w:p>
            <w:pPr>
              <w:pStyle w:val="Normal"/>
              <w:tabs>
                <w:tab w:val="clear" w:pos="720"/>
                <w:tab w:val="left" w:pos="1080" w:leader="none"/>
                <w:tab w:val="left" w:pos="6840" w:leader="none"/>
              </w:tabs>
              <w:rPr>
                <w:rFonts w:ascii="Times New Roman" w:hAnsi="Times New Roman" w:cs="Times New Roman"/>
                <w:b/>
              </w:rPr>
            </w:pPr>
            <w:r>
              <w:rPr>
                <w:rFonts w:cs="Times New Roman" w:ascii="Times New Roman" w:hAnsi="Times New Roman"/>
                <w:b/>
              </w:rPr>
              <w:t>To:</w:t>
            </w:r>
            <w:r>
              <w:rPr>
                <w:rFonts w:cs="Times New Roman" w:ascii="Times New Roman" w:hAnsi="Times New Roman"/>
                <w:b/>
                <w:color w:val="0000FF"/>
              </w:rPr>
              <w:tab/>
            </w:r>
          </w:p>
        </w:tc>
        <w:tc>
          <w:tcPr>
            <w:tcW w:w="4680" w:type="dxa"/>
            <w:tcBorders/>
          </w:tcPr>
          <w:p>
            <w:pPr>
              <w:pStyle w:val="Normal"/>
              <w:tabs>
                <w:tab w:val="clear" w:pos="720"/>
                <w:tab w:val="left" w:pos="1080" w:leader="none"/>
                <w:tab w:val="left" w:pos="6840" w:leader="none"/>
              </w:tabs>
              <w:rPr>
                <w:rFonts w:ascii="Times New Roman" w:hAnsi="Times New Roman" w:cs="Times New Roman"/>
                <w:sz w:val="24"/>
              </w:rPr>
            </w:pPr>
            <w:bookmarkStart w:id="0" w:name="Tobkmk"/>
            <w:bookmarkEnd w:id="0"/>
            <w:r>
              <w:rPr>
                <w:rFonts w:cs="Times New Roman" w:ascii="Times New Roman" w:hAnsi="Times New Roman"/>
                <w:sz w:val="24"/>
              </w:rPr>
              <w:t xml:space="preserve"> </w:t>
            </w:r>
          </w:p>
          <w:p>
            <w:pPr>
              <w:pStyle w:val="Normal"/>
              <w:tabs>
                <w:tab w:val="clear" w:pos="720"/>
                <w:tab w:val="left" w:pos="1080" w:leader="none"/>
                <w:tab w:val="left" w:pos="6840" w:leader="none"/>
              </w:tabs>
              <w:rPr>
                <w:rFonts w:ascii="Times New Roman" w:hAnsi="Times New Roman" w:cs="Times New Roman"/>
                <w:sz w:val="24"/>
              </w:rPr>
            </w:pPr>
            <w:r>
              <w:rPr>
                <w:rFonts w:cs="Times New Roman" w:ascii="Times New Roman" w:hAnsi="Times New Roman"/>
              </w:rPr>
              <w:t>All EGEP, EOGIL &amp; EOGCL Employees</w:t>
            </w:r>
          </w:p>
        </w:tc>
        <w:tc>
          <w:tcPr>
            <w:tcW w:w="1526" w:type="dxa"/>
            <w:tcBorders/>
          </w:tcPr>
          <w:p>
            <w:pPr>
              <w:pStyle w:val="Normal"/>
              <w:tabs>
                <w:tab w:val="clear" w:pos="720"/>
                <w:tab w:val="left" w:pos="2232" w:leader="none"/>
                <w:tab w:val="left" w:pos="6840" w:leader="none"/>
              </w:tabs>
              <w:snapToGrid w:val="false"/>
              <w:rPr>
                <w:rFonts w:ascii="Times New Roman" w:hAnsi="Times New Roman" w:cs="Times New Roman"/>
                <w:sz w:val="24"/>
              </w:rPr>
            </w:pPr>
            <w:r>
              <w:rPr>
                <w:rFonts w:cs="Times New Roman" w:ascii="Times New Roman" w:hAnsi="Times New Roman"/>
                <w:sz w:val="24"/>
              </w:rPr>
            </w:r>
          </w:p>
        </w:tc>
        <w:tc>
          <w:tcPr>
            <w:tcW w:w="3355" w:type="dxa"/>
            <w:tcBorders/>
          </w:tcPr>
          <w:p>
            <w:pPr>
              <w:pStyle w:val="Normal"/>
              <w:tabs>
                <w:tab w:val="clear" w:pos="720"/>
                <w:tab w:val="left" w:pos="2232" w:leader="none"/>
                <w:tab w:val="left" w:pos="6840" w:leader="none"/>
              </w:tabs>
              <w:snapToGrid w:val="false"/>
              <w:rPr>
                <w:rFonts w:ascii="Times New Roman" w:hAnsi="Times New Roman" w:cs="Times New Roman"/>
              </w:rPr>
            </w:pPr>
            <w:r>
              <w:rPr>
                <w:rFonts w:cs="Times New Roman" w:ascii="Times New Roman" w:hAnsi="Times New Roman"/>
              </w:rPr>
            </w:r>
          </w:p>
        </w:tc>
      </w:tr>
      <w:tr>
        <w:trPr>
          <w:trHeight w:val="480" w:hRule="atLeast"/>
        </w:trPr>
        <w:tc>
          <w:tcPr>
            <w:tcW w:w="1094" w:type="dxa"/>
            <w:tcBorders/>
          </w:tcPr>
          <w:p>
            <w:pPr>
              <w:pStyle w:val="Normal"/>
              <w:tabs>
                <w:tab w:val="clear" w:pos="720"/>
                <w:tab w:val="left" w:pos="1080" w:leader="none"/>
                <w:tab w:val="left" w:pos="6840" w:leader="none"/>
              </w:tabs>
              <w:snapToGrid w:val="false"/>
              <w:rPr>
                <w:rFonts w:ascii="Times New Roman" w:hAnsi="Times New Roman" w:cs="Times New Roman"/>
                <w:b/>
              </w:rPr>
            </w:pPr>
            <w:r>
              <w:rPr>
                <w:rFonts w:cs="Times New Roman" w:ascii="Times New Roman" w:hAnsi="Times New Roman"/>
                <w:b/>
              </w:rPr>
            </w:r>
          </w:p>
          <w:p>
            <w:pPr>
              <w:pStyle w:val="Normal"/>
              <w:tabs>
                <w:tab w:val="clear" w:pos="720"/>
                <w:tab w:val="left" w:pos="1080" w:leader="none"/>
                <w:tab w:val="left" w:pos="6840" w:leader="none"/>
              </w:tabs>
              <w:rPr>
                <w:rFonts w:ascii="Times New Roman" w:hAnsi="Times New Roman" w:cs="Times New Roman"/>
                <w:b/>
              </w:rPr>
            </w:pPr>
            <w:r>
              <w:rPr>
                <w:rFonts w:cs="Times New Roman" w:ascii="Times New Roman" w:hAnsi="Times New Roman"/>
                <w:b/>
              </w:rPr>
              <w:t>From:</w:t>
            </w:r>
            <w:r>
              <w:rPr>
                <w:rFonts w:cs="Times New Roman" w:ascii="Times New Roman" w:hAnsi="Times New Roman"/>
                <w:b/>
                <w:color w:val="0000FF"/>
              </w:rPr>
              <w:tab/>
            </w:r>
          </w:p>
        </w:tc>
        <w:tc>
          <w:tcPr>
            <w:tcW w:w="4680" w:type="dxa"/>
            <w:tcBorders/>
          </w:tcPr>
          <w:p>
            <w:pPr>
              <w:pStyle w:val="Normal"/>
              <w:tabs>
                <w:tab w:val="clear" w:pos="720"/>
                <w:tab w:val="left" w:pos="1080" w:leader="none"/>
                <w:tab w:val="left" w:pos="6840" w:leader="none"/>
              </w:tabs>
              <w:snapToGrid w:val="false"/>
              <w:rPr>
                <w:rFonts w:ascii="Times New Roman" w:hAnsi="Times New Roman" w:cs="Times New Roman"/>
                <w:b/>
                <w:sz w:val="24"/>
              </w:rPr>
            </w:pPr>
            <w:r>
              <w:rPr>
                <w:rFonts w:cs="Times New Roman" w:ascii="Times New Roman" w:hAnsi="Times New Roman"/>
                <w:b/>
                <w:sz w:val="24"/>
              </w:rPr>
            </w:r>
            <w:bookmarkStart w:id="1" w:name="Frombkmk"/>
            <w:bookmarkStart w:id="2" w:name="Frombkmk"/>
            <w:bookmarkEnd w:id="2"/>
          </w:p>
          <w:p>
            <w:pPr>
              <w:pStyle w:val="Normal"/>
              <w:tabs>
                <w:tab w:val="clear" w:pos="720"/>
                <w:tab w:val="left" w:pos="1080" w:leader="none"/>
                <w:tab w:val="left" w:pos="6840" w:leader="none"/>
              </w:tabs>
              <w:rPr>
                <w:rFonts w:ascii="Times New Roman" w:hAnsi="Times New Roman" w:cs="Times New Roman"/>
                <w:sz w:val="24"/>
              </w:rPr>
            </w:pPr>
            <w:r>
              <w:rPr>
                <w:rFonts w:cs="Times New Roman" w:ascii="Times New Roman" w:hAnsi="Times New Roman"/>
                <w:sz w:val="24"/>
              </w:rPr>
              <w:t>Jeffrey B. Sherrick</w:t>
            </w:r>
          </w:p>
        </w:tc>
        <w:tc>
          <w:tcPr>
            <w:tcW w:w="1526" w:type="dxa"/>
            <w:tcBorders/>
          </w:tcPr>
          <w:p>
            <w:pPr>
              <w:pStyle w:val="Normal"/>
              <w:tabs>
                <w:tab w:val="clear" w:pos="720"/>
                <w:tab w:val="left" w:pos="1692" w:leader="none"/>
                <w:tab w:val="left" w:pos="6840" w:leader="none"/>
              </w:tabs>
              <w:snapToGrid w:val="fals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692" w:leader="none"/>
                <w:tab w:val="left" w:pos="6840" w:leader="none"/>
              </w:tabs>
              <w:rPr>
                <w:rFonts w:ascii="Times New Roman" w:hAnsi="Times New Roman" w:cs="Times New Roman"/>
                <w:b/>
              </w:rPr>
            </w:pPr>
            <w:r>
              <w:rPr>
                <w:rFonts w:cs="Times New Roman" w:ascii="Times New Roman" w:hAnsi="Times New Roman"/>
                <w:b/>
              </w:rPr>
              <w:t>Department:</w:t>
            </w:r>
            <w:r>
              <w:rPr>
                <w:rFonts w:cs="Times New Roman" w:ascii="Times New Roman" w:hAnsi="Times New Roman"/>
                <w:b/>
                <w:color w:val="0000FF"/>
              </w:rPr>
              <w:tab/>
            </w:r>
          </w:p>
        </w:tc>
        <w:tc>
          <w:tcPr>
            <w:tcW w:w="3355" w:type="dxa"/>
            <w:tcBorders/>
          </w:tcPr>
          <w:p>
            <w:pPr>
              <w:pStyle w:val="Normal"/>
              <w:tabs>
                <w:tab w:val="clear" w:pos="720"/>
                <w:tab w:val="left" w:pos="1692" w:leader="none"/>
                <w:tab w:val="left" w:pos="6840" w:leader="none"/>
              </w:tabs>
              <w:snapToGrid w:val="false"/>
              <w:rPr>
                <w:rFonts w:ascii="Times New Roman" w:hAnsi="Times New Roman" w:cs="Times New Roman"/>
                <w:b/>
              </w:rPr>
            </w:pPr>
            <w:r>
              <w:rPr>
                <w:rFonts w:cs="Times New Roman" w:ascii="Times New Roman" w:hAnsi="Times New Roman"/>
                <w:b/>
              </w:rPr>
            </w:r>
            <w:bookmarkStart w:id="3" w:name="Departmentbkmk"/>
            <w:bookmarkStart w:id="4" w:name="Departmentbkmk"/>
            <w:bookmarkEnd w:id="4"/>
          </w:p>
          <w:p>
            <w:pPr>
              <w:pStyle w:val="Normal"/>
              <w:tabs>
                <w:tab w:val="clear" w:pos="720"/>
                <w:tab w:val="left" w:pos="1692" w:leader="none"/>
                <w:tab w:val="left" w:pos="6840" w:leader="none"/>
              </w:tabs>
              <w:rPr>
                <w:rFonts w:ascii="Times New Roman" w:hAnsi="Times New Roman" w:cs="Times New Roman"/>
              </w:rPr>
            </w:pPr>
            <w:r>
              <w:rPr>
                <w:rFonts w:cs="Times New Roman" w:ascii="Times New Roman" w:hAnsi="Times New Roman"/>
              </w:rPr>
              <w:t>Executive</w:t>
            </w:r>
          </w:p>
        </w:tc>
      </w:tr>
      <w:tr>
        <w:trPr>
          <w:trHeight w:val="480" w:hRule="atLeast"/>
        </w:trPr>
        <w:tc>
          <w:tcPr>
            <w:tcW w:w="1094" w:type="dxa"/>
            <w:tcBorders>
              <w:bottom w:val="single" w:sz="6" w:space="0" w:color="000000"/>
            </w:tcBorders>
          </w:tcPr>
          <w:p>
            <w:pPr>
              <w:pStyle w:val="Normal"/>
              <w:tabs>
                <w:tab w:val="clear" w:pos="720"/>
                <w:tab w:val="left" w:pos="1080" w:leader="none"/>
                <w:tab w:val="left" w:pos="6840" w:leader="none"/>
              </w:tabs>
              <w:snapToGrid w:val="false"/>
              <w:rPr>
                <w:rFonts w:ascii="Times New Roman" w:hAnsi="Times New Roman" w:cs="Times New Roman"/>
                <w:b/>
              </w:rPr>
            </w:pPr>
            <w:r>
              <w:rPr>
                <w:rFonts w:cs="Times New Roman" w:ascii="Times New Roman" w:hAnsi="Times New Roman"/>
                <w:b/>
              </w:rPr>
            </w:r>
          </w:p>
          <w:p>
            <w:pPr>
              <w:pStyle w:val="Normal"/>
              <w:tabs>
                <w:tab w:val="clear" w:pos="720"/>
                <w:tab w:val="left" w:pos="1080" w:leader="none"/>
                <w:tab w:val="left" w:pos="6840" w:leader="none"/>
              </w:tabs>
              <w:rPr>
                <w:rFonts w:ascii="Times New Roman" w:hAnsi="Times New Roman" w:cs="Times New Roman"/>
                <w:b/>
              </w:rPr>
            </w:pPr>
            <w:r>
              <w:rPr>
                <w:rFonts w:cs="Times New Roman" w:ascii="Times New Roman" w:hAnsi="Times New Roman"/>
                <w:b/>
              </w:rPr>
              <w:t>Subject:</w:t>
            </w:r>
            <w:r>
              <w:rPr>
                <w:rFonts w:cs="Times New Roman" w:ascii="Times New Roman" w:hAnsi="Times New Roman"/>
                <w:b/>
                <w:color w:val="0000FF"/>
              </w:rPr>
              <w:tab/>
            </w:r>
          </w:p>
        </w:tc>
        <w:tc>
          <w:tcPr>
            <w:tcW w:w="4680" w:type="dxa"/>
            <w:tcBorders>
              <w:bottom w:val="single" w:sz="6" w:space="0" w:color="000000"/>
            </w:tcBorders>
          </w:tcPr>
          <w:p>
            <w:pPr>
              <w:pStyle w:val="Normal"/>
              <w:tabs>
                <w:tab w:val="clear" w:pos="720"/>
                <w:tab w:val="left" w:pos="1080" w:leader="none"/>
                <w:tab w:val="left" w:pos="6840" w:leader="none"/>
              </w:tabs>
              <w:snapToGrid w:val="false"/>
              <w:rPr>
                <w:rFonts w:ascii="Times New Roman" w:hAnsi="Times New Roman" w:cs="Times New Roman"/>
                <w:b/>
                <w:sz w:val="24"/>
              </w:rPr>
            </w:pPr>
            <w:r>
              <w:rPr>
                <w:rFonts w:cs="Times New Roman" w:ascii="Times New Roman" w:hAnsi="Times New Roman"/>
                <w:b/>
                <w:sz w:val="24"/>
              </w:rPr>
            </w:r>
            <w:bookmarkStart w:id="5" w:name="Subjectbkmk"/>
            <w:bookmarkStart w:id="6" w:name="Subjectbkmk"/>
            <w:bookmarkEnd w:id="6"/>
          </w:p>
          <w:p>
            <w:pPr>
              <w:pStyle w:val="Normal"/>
              <w:tabs>
                <w:tab w:val="clear" w:pos="720"/>
                <w:tab w:val="left" w:pos="1080" w:leader="none"/>
                <w:tab w:val="left" w:pos="6840" w:leader="none"/>
              </w:tabs>
              <w:rPr>
                <w:rFonts w:ascii="Times New Roman" w:hAnsi="Times New Roman" w:cs="Times New Roman"/>
                <w:sz w:val="24"/>
              </w:rPr>
            </w:pPr>
            <w:r>
              <w:rPr>
                <w:rFonts w:cs="Times New Roman" w:ascii="Times New Roman" w:hAnsi="Times New Roman"/>
                <w:sz w:val="24"/>
              </w:rPr>
              <w:t>EGEP General Announcement</w:t>
            </w:r>
          </w:p>
        </w:tc>
        <w:tc>
          <w:tcPr>
            <w:tcW w:w="1526" w:type="dxa"/>
            <w:tcBorders>
              <w:bottom w:val="single" w:sz="6" w:space="0" w:color="000000"/>
            </w:tcBorders>
          </w:tcPr>
          <w:p>
            <w:pPr>
              <w:pStyle w:val="Normal"/>
              <w:tabs>
                <w:tab w:val="clear" w:pos="720"/>
                <w:tab w:val="left" w:pos="1692" w:leader="none"/>
                <w:tab w:val="left" w:pos="6840" w:leader="none"/>
              </w:tabs>
              <w:snapToGrid w:val="fals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692" w:leader="none"/>
                <w:tab w:val="left" w:pos="6840" w:leader="none"/>
              </w:tabs>
              <w:rPr>
                <w:rFonts w:ascii="Times New Roman" w:hAnsi="Times New Roman" w:cs="Times New Roman"/>
                <w:b/>
              </w:rPr>
            </w:pPr>
            <w:r>
              <w:rPr>
                <w:rFonts w:cs="Times New Roman" w:ascii="Times New Roman" w:hAnsi="Times New Roman"/>
                <w:b/>
              </w:rPr>
              <w:t>Date:</w:t>
              <w:tab/>
            </w:r>
          </w:p>
        </w:tc>
        <w:tc>
          <w:tcPr>
            <w:tcW w:w="3355" w:type="dxa"/>
            <w:tcBorders>
              <w:bottom w:val="single" w:sz="6" w:space="0" w:color="000000"/>
            </w:tcBorders>
          </w:tcPr>
          <w:p>
            <w:pPr>
              <w:pStyle w:val="Normal"/>
              <w:tabs>
                <w:tab w:val="clear" w:pos="720"/>
                <w:tab w:val="left" w:pos="1692" w:leader="none"/>
                <w:tab w:val="left" w:pos="6840" w:leader="none"/>
              </w:tabs>
              <w:snapToGrid w:val="false"/>
              <w:rPr>
                <w:rFonts w:ascii="Times New Roman" w:hAnsi="Times New Roman" w:cs="Times New Roman"/>
                <w:b/>
              </w:rPr>
            </w:pPr>
            <w:r>
              <w:rPr>
                <w:rFonts w:cs="Times New Roman" w:ascii="Times New Roman" w:hAnsi="Times New Roman"/>
                <w:b/>
              </w:rPr>
            </w:r>
          </w:p>
          <w:p>
            <w:pPr>
              <w:pStyle w:val="Normal"/>
              <w:tabs>
                <w:tab w:val="clear" w:pos="720"/>
                <w:tab w:val="left" w:pos="1692" w:leader="none"/>
                <w:tab w:val="left" w:pos="6840" w:leader="none"/>
              </w:tabs>
              <w:rPr>
                <w:rFonts w:ascii="Times New Roman" w:hAnsi="Times New Roman" w:cs="Times New Roman"/>
              </w:rPr>
            </w:pPr>
            <w:r>
              <w:rPr>
                <w:rFonts w:cs="Times New Roman" w:ascii="Times New Roman" w:hAnsi="Times New Roman"/>
              </w:rPr>
              <w:t>October 12, 2000</w:t>
            </w:r>
          </w:p>
        </w:tc>
      </w:tr>
    </w:tbl>
    <w:p>
      <w:pPr>
        <w:pStyle w:val="Normal"/>
        <w:rPr/>
      </w:pPr>
      <w:r>
        <w:rPr/>
      </w:r>
      <w:bookmarkStart w:id="7" w:name="Memotextbkmk"/>
      <w:bookmarkStart w:id="8" w:name="Memotextbkmk"/>
      <w:bookmarkEnd w:id="8"/>
    </w:p>
    <w:p>
      <w:pPr>
        <w:pStyle w:val="Normal"/>
        <w:rPr>
          <w:rFonts w:ascii="Times New Roman" w:hAnsi="Times New Roman" w:cs="Times New Roman"/>
          <w:sz w:val="24"/>
        </w:rPr>
      </w:pPr>
      <w:r>
        <w:rPr>
          <w:rFonts w:cs="Times New Roman" w:ascii="Times New Roman" w:hAnsi="Times New Roman"/>
          <w:sz w:val="24"/>
        </w:rPr>
        <w:t>During the past two years, Enron Corp. has expended considerable time and effort in growing its e-commerce and market-making capabilities for various commodities.  The result has been a virtual explosion in new investment opportunities, many of which were difficult to envision even as recently as twelve months ago.   To actively pursue the company strategy, Enron is continually evaluating its holdings looking for opportunities to re-deploy capital into projects with even greater income generation potential.  With this in mind Enron has decided to offer several international assets for sale, including Enron Oil &amp; Gas India Ltd., our subsidiary that owns a 30% interest in the Panna, Mukta and Tapti concession areas.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The purpose of this memo is to inform you that we will begin marketing EOGIL immediately and to outline the impact of this action on our business unit.  In the short-term, we will have to make some organizational changes to efficiently conduct the sale process and still maintain our high level of operational standards.  Long-term, a successful sale of EOGIL will result in the elimination of EGEP as a business unit and effectively end Enron’s direct investment in the oil and gas exploration sector.   As we move through the sale process for EOGIL, we will be reviewing the balance of our portfolio for transfer to other Enron entities or for sale as separate packages.  If we successfully sell EOGIL, we expect to close the transaction and rationalize the remaining portfolio by March 31, 2001.  At that time it is our intention to eliminate EGEP as an Enron business unit.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Our team, “EGEP/EOGIL/EOGCL”, has shown extraordinary talent, integrity, professionalism and resolve in the past in some very tough circumstances.  There is no doubt in my mind that we will perform with the same high standards during this task as well.  Yes, this action will impact each of us personally in some way, but if we approach the sale with a positive attitude and do our best, I believe this effort will conclude with a solution that provides most people with more opportunities than they have today.  My major goals are two-fold.  First, to market our portfolio to the best of my ability for Enron, and second, to help each of you successfully navigate through this turbulent period.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In order to have a successful sale, we need everyone in the organization to pull together to do a variety of jobs in addition to their daily tasks associated with on-going operations.  The sale process will primarily take place in Houston, but there will be data requests and possibly due diligence tours in our operational locations.  For the most part, we will strive to minimize the impact of the sale process outside of the Houston staff.  In fact, due to strict confidentiality requirements, people outside of Houston should not expect any communication regarding the sale activities until the process is concluded one way or another.  The likelihood is it will be some time in the first quarter of 2001 before the process is concluded.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I will be dedicating a significant portion of my time to this effort over the next few months.  Therefore, effective immediately, Mike Stewart will be responsible for all India activities outside of the sale process.  Larry Morse will report to Mike, as will the Houston staff that has responsibilities for various aspects of the India operations.  Doug Weaver will continue to have responsibility for both China and the US activities outside of the sale process.  Steve Harper will report directly to me and he will be responsible for the sale process.  Steve will coordinate our effort and also be our primary interface with Enron corporate development and our investment bankers.   Steve will need a lot of support to successfully coordinate this project.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How will this decision impact each of us as employees?   It is difficult to say with absolute assurance due to the uncertainty of getting an acceptable value for EOGIL. However, there are four possible outcomes to the sale process that are envisioned at this time.</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
        </w:numPr>
        <w:rPr>
          <w:rFonts w:ascii="Times New Roman" w:hAnsi="Times New Roman" w:cs="Times New Roman"/>
          <w:sz w:val="24"/>
        </w:rPr>
      </w:pPr>
      <w:r>
        <w:rPr>
          <w:rFonts w:cs="Times New Roman" w:ascii="Times New Roman" w:hAnsi="Times New Roman"/>
          <w:sz w:val="24"/>
        </w:rPr>
        <w:t>If some or all of the portfolio is not transferred or sold, EGEP/EOGIL/EOGCL will continue to operate and manage the assets/companies with the appropriate staff and organization.</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
        </w:numPr>
        <w:rPr>
          <w:rFonts w:ascii="Times New Roman" w:hAnsi="Times New Roman" w:cs="Times New Roman"/>
          <w:sz w:val="24"/>
        </w:rPr>
      </w:pPr>
      <w:r>
        <w:rPr>
          <w:rFonts w:cs="Times New Roman" w:ascii="Times New Roman" w:hAnsi="Times New Roman"/>
          <w:sz w:val="24"/>
        </w:rPr>
        <w:t>If some or all of the portfolio is transferred or sold, employees of the sold or transferred assets/companies (EGEP/EOGIL/EOGCL) may be offered comparable positions in the respective acquiring companies.</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As soon as possible and contingent upon the sale or transfer of some or all of the assets/companies, all employees not employed under items 1 or 2 above will be given a chance to seek general redeployment opportunities within Enron.  Employees that are not assigned to the portfolio assets/companies and not needed for the sale process will be given a chance to seek general redeployment opportunities within Enron as soon as possible.</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
        </w:numPr>
        <w:rPr>
          <w:rFonts w:ascii="Times New Roman" w:hAnsi="Times New Roman" w:cs="Times New Roman"/>
          <w:sz w:val="24"/>
        </w:rPr>
      </w:pPr>
      <w:r>
        <w:rPr>
          <w:rFonts w:cs="Times New Roman" w:ascii="Times New Roman" w:hAnsi="Times New Roman"/>
          <w:sz w:val="24"/>
        </w:rPr>
        <w:t xml:space="preserve">If none of the above three scenarios are applicable, the remaining employees would be involuntarily terminated with severance benefits no earlier than March 31, 2001.  This timeframe could be extended for a reasonable period of time for certain employees if their services are necessary to close a transaction or provide transitional services as required by an acquiring company.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We are currently not in a position to outline the impact of the above scenarios for each employee.  In fact, until we either transfer an asset/company or identify a buyer, we cannot generate an appropriate analysis for each affected employee.  Gerry Chatham will supply the affected employees with their alternatives when the appropriate conditions are known.  </w:t>
      </w:r>
    </w:p>
    <w:p>
      <w:pPr>
        <w:pStyle w:val="Normal"/>
        <w:rPr>
          <w:rFonts w:ascii="Times New Roman" w:hAnsi="Times New Roman" w:cs="Times New Roman"/>
          <w:sz w:val="24"/>
        </w:rPr>
      </w:pPr>
      <w:r>
        <w:rPr>
          <w:rFonts w:cs="Times New Roman" w:ascii="Times New Roman" w:hAnsi="Times New Roman"/>
          <w:sz w:val="24"/>
        </w:rPr>
      </w:r>
    </w:p>
    <w:p>
      <w:pPr>
        <w:pStyle w:val="BodyText"/>
        <w:rPr/>
      </w:pPr>
      <w:r>
        <w:rPr/>
        <w:t xml:space="preserve">Dealing with uncertainty is tough.  I know this, but we need to pull together and successfully complete the task before us.  There is a strong likelihood that many of our employees will continue to be employed by an acquiring entity or redeployed into Enron Corp.  Furthermore, Enron Corp. and our unit have met all operational and financial goals to date and I am confident that we will exceed expectations at year-end.  While the bonus pools for all of the business units will not be finalized and approved until January of 2001, I have every reason to expect full funding of our year 2000 performance Bonus Program.  Bonuses will be based on current year performance including individual contribution to the sale process if the employee is asked to participate in some way.  </w:t>
      </w:r>
      <w:r>
        <w:br w:type="page"/>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In closing, I would just like to reiterate that the decision to sell EOGIL and possibly exit the E&amp;P business in no way reflects a negative perception, either individually or collectively, on our business unit.  I think it is very important to note that Enron has been very pleased with the performance of our unit relative to our peers in the E&amp;P industry.  We have performed exceedingly well and Enron has made and is making a fair return on its investment.  There are, however, opportunities in other sectors that they believe can generate even larger returns for the corporation and its shareholders.  This decision simply reflects a desire to focus on other core businesses within the Enron family of companies.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 am very proud of the success we have enjoyed and I would like to personally thank each of you for your many contributions towards this success.  If you have any questions, please feel free to contact Gerry Chatham or me.  When appropriate, we will provide you with additional information.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Jeff</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spacing w:lineRule="atLeast" w:line="240"/>
        <w:ind w:start="-90" w:end="0"/>
        <w:rPr>
          <w:rFonts w:ascii="Times New Roman" w:hAnsi="Times New Roman" w:cs="Times New Roman"/>
          <w:b/>
          <w:color w:val="000000"/>
          <w:sz w:val="24"/>
          <w:lang w:eastAsia="en-US"/>
        </w:rPr>
      </w:pPr>
      <w:r>
        <w:rPr>
          <w:rFonts w:cs="Times New Roman" w:ascii="Times New Roman" w:hAnsi="Times New Roman"/>
          <w:b/>
          <w:color w:val="000000"/>
          <w:sz w:val="24"/>
          <w:lang w:eastAsia="en-US"/>
        </w:rPr>
      </w:r>
    </w:p>
    <w:sectPr>
      <w:footerReference w:type="default" r:id="rId4"/>
      <w:footerReference w:type="first" r:id="rId5"/>
      <w:type w:val="nextPage"/>
      <w:pgSz w:w="12240" w:h="15840"/>
      <w:pgMar w:left="1296" w:right="1296" w:gutter="0" w:header="0" w:top="100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lineRule="atLeast" w:line="240"/>
      <w:ind w:hanging="0" w:start="360" w:end="0"/>
      <w:outlineLvl w:val="0"/>
    </w:pPr>
    <w:rPr>
      <w:rFonts w:ascii="Times New Roman" w:hAnsi="Times New Roman" w:cs="Times New Roman"/>
      <w:b/>
      <w:color w:val="000000"/>
      <w:sz w:val="24"/>
      <w:u w:val="single"/>
      <w:lang w:eastAsia="en-US"/>
    </w:rPr>
  </w:style>
  <w:style w:type="paragraph" w:styleId="Heading2">
    <w:name w:val="heading 2"/>
    <w:basedOn w:val="Normal"/>
    <w:next w:val="Normal"/>
    <w:qFormat/>
    <w:pPr>
      <w:keepNext w:val="true"/>
      <w:numPr>
        <w:ilvl w:val="1"/>
        <w:numId w:val="1"/>
      </w:numPr>
      <w:jc w:val="start"/>
      <w:outlineLvl w:val="1"/>
    </w:pPr>
    <w:rPr>
      <w:i/>
      <w:sz w:val="20"/>
      <w:u w:val="single"/>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rFonts w:ascii="Times New Roman" w:hAnsi="Times New Roman" w:cs="Times New Roman"/>
      <w:color w:val="000000"/>
      <w:sz w:val="24"/>
      <w:lang w:eastAsia="en-US"/>
    </w:rPr>
  </w:style>
  <w:style w:type="paragraph" w:styleId="BodyTextIndent2">
    <w:name w:val="Body Text Indent 2"/>
    <w:basedOn w:val="Normal"/>
    <w:qFormat/>
    <w:pPr>
      <w:spacing w:lineRule="atLeast" w:line="240"/>
      <w:ind w:hanging="0" w:start="-90" w:end="0"/>
    </w:pPr>
    <w:rPr>
      <w:rFonts w:ascii="Times New Roman" w:hAnsi="Times New Roman" w:cs="Times New Roman"/>
      <w:color w:val="000000"/>
      <w:sz w:val="24"/>
      <w:lang w:eastAsia="en-US"/>
    </w:rPr>
  </w:style>
  <w:style w:type="paragraph" w:styleId="BlockText">
    <w:name w:val="Block Text"/>
    <w:basedOn w:val="Normal"/>
    <w:qFormat/>
    <w:pPr>
      <w:spacing w:lineRule="atLeast" w:line="240"/>
      <w:ind w:hanging="0" w:start="-90" w:end="-252"/>
    </w:pPr>
    <w:rPr>
      <w:rFonts w:ascii="Times New Roman" w:hAnsi="Times New Roman" w:cs="Times New Roman"/>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2000-10-13T17:18:00Z</dcterms:created>
  <dc:creator>pcsetup</dc:creator>
  <dc:description/>
  <dc:language>en-CA</dc:language>
  <cp:lastModifiedBy>jsherri</cp:lastModifiedBy>
  <cp:lastPrinted>2000-10-12T14:18:00Z</cp:lastPrinted>
  <dcterms:modified xsi:type="dcterms:W3CDTF">2000-10-13T17:18:00Z</dcterms:modified>
  <cp:revision>2</cp:revision>
  <dc:subject/>
  <dc:title>Gerry/Chris,  For some reason I could not access my mail from my home prior to leaving for the airport</dc:title>
</cp:coreProperties>
</file>