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r>
    </w:p>
    <w:p>
      <w:pPr>
        <w:pStyle w:val="Normal"/>
        <w:spacing w:lineRule="atLeast" w:line="240"/>
        <w:jc w:val="both"/>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909504228" r:id="rId2"/>
        </w:object>
      </w:r>
      <w:r>
        <w:rPr>
          <w:rFonts w:eastAsia="Arial"/>
          <w:color w:val="000000"/>
          <w:lang w:eastAsia="en-US"/>
        </w:rPr>
        <w:t xml:space="preserve"> </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Memorandum</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b/>
          <w:color w:val="000000"/>
          <w:lang w:eastAsia="en-US"/>
        </w:rPr>
      </w:pPr>
      <w:r>
        <w:rPr>
          <w:b/>
          <w:color w:val="000000"/>
          <w:lang w:eastAsia="en-US"/>
        </w:rPr>
      </w:r>
    </w:p>
    <w:p>
      <w:pPr>
        <w:pStyle w:val="Normal"/>
        <w:spacing w:lineRule="atLeast" w:line="240"/>
        <w:jc w:val="both"/>
        <w:rPr>
          <w:b/>
          <w:color w:val="000000"/>
          <w:lang w:eastAsia="en-US"/>
        </w:rPr>
      </w:pPr>
      <w:r>
        <w:rPr>
          <w:b/>
          <w:color w:val="000000"/>
          <w:lang w:eastAsia="en-US"/>
        </w:rPr>
        <w:t>Date:</w:t>
        <w:tab/>
        <w:tab/>
        <w:t>January 22, 2001</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b/>
          <w:color w:val="000000"/>
          <w:lang w:eastAsia="en-US"/>
        </w:rPr>
      </w:pPr>
      <w:r>
        <w:rPr>
          <w:b/>
          <w:color w:val="000000"/>
          <w:lang w:eastAsia="en-US"/>
        </w:rPr>
        <w:t>To:</w:t>
        <w:tab/>
        <w:tab/>
        <w:t>EGA Employees</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b/>
          <w:color w:val="000000"/>
          <w:lang w:eastAsia="en-US"/>
        </w:rPr>
      </w:pPr>
      <w:r>
        <w:rPr>
          <w:b/>
          <w:color w:val="000000"/>
          <w:lang w:eastAsia="en-US"/>
        </w:rPr>
        <w:t>From:</w:t>
        <w:tab/>
        <w:tab/>
        <w:t>Rebecca McDonald and Jim Hughes</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b/>
          <w:color w:val="000000"/>
          <w:lang w:eastAsia="en-US"/>
        </w:rPr>
        <w:t>Re:</w:t>
        <w:tab/>
        <w:tab/>
        <w:t>Enron Global Assets ("EGA") Organization</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r>
    </w:p>
    <w:p>
      <w:pPr>
        <w:pStyle w:val="BodyText"/>
        <w:rPr/>
      </w:pPr>
      <w:r>
        <w:rPr/>
        <w:t xml:space="preserve">Enron Global Assets is pleased to detail the organizational structure of this recently formed business unit and to identify the primary responsibilities of the senior management team.  Prior to detailing this, Jim and I wanted to stress that the responsibilities outlined below are set forth to facilitate rapid communication and efficient decision making.  This is certain to change over time as our business changes and as old problems are solved and new problems materialize. The goal is at all times to spread the workload evenly and in a logical fashion while making sure that adequate management resources are applied to the most difficult tasks.  At various times we intend to call upon the time and energy of key members of the organization to deal with some of the larger challenges facing EGA, even though it is not something they are directly responsible for on a reporting basis.  We believe in shared destiny, a problem anywhere in the organization is a problem for everyone in the organization and any given success is shared in part by all.  </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The businesses that comprise EGA consist of 28 separate businesses with operations in 16 countries.  In order to provide for coordination of regional and governmental issues and to minimize the travel and time zone inconvenience for personnel, EGA will organize broadly along regional lines.  We do not intend to build separate regional organizations, as this would introduce excessive cost and hierarchy to the organization.  Rather, we will have a common reporting point for the businesses within broadly defined regions.  In addition, we intend to develop informal working groups along product lines where executives managing similar businesses can compare their experiences, share ideas and pass on lessons learned.  We expect to provide more detail on this in the coming weeks.</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Primary reporting responsibilities of the businesses will be assigned as follows:</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Caribbean</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Mariela Mahan will be responsible for the businesses located in or on the periphery of the Caribbean.  This will include Promigas, Centragas, BLM, PQPC/L, Accroven, Ventane, IGL, Bachaquero, SECLP, Corinto, Calife, and EcoElectrica.</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South America</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Pete Weidler will be responsible for Cuiaba, Gasmat, Gasbol, BBPL, Transredes, and the Gas Unit in Brazil.  In addition, Pete will sit on the Board of Directors of TGS and act as the primary Enron contact outside of TGS itself.</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Orlando Gonzalez will continue to serve as the President and CEO of Elektro, the largest single business in the EGA portfolio (in addition to his responsibilities as co-head along with Joe Kishkill of the Enron South America organization).</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Asia</w:t>
      </w:r>
    </w:p>
    <w:p>
      <w:pPr>
        <w:pStyle w:val="Normal"/>
        <w:spacing w:lineRule="atLeast" w:line="240"/>
        <w:jc w:val="both"/>
        <w:rPr>
          <w:b/>
          <w:color w:val="000000"/>
          <w:lang w:eastAsia="en-US"/>
        </w:rPr>
      </w:pPr>
      <w:r>
        <w:rPr>
          <w:b/>
          <w:color w:val="000000"/>
          <w:lang w:eastAsia="en-US"/>
        </w:rPr>
      </w:r>
    </w:p>
    <w:p>
      <w:pPr>
        <w:pStyle w:val="BodyText"/>
        <w:rPr/>
      </w:pPr>
      <w:r>
        <w:rPr/>
        <w:t>Chris Hunt will be responsible for Hainan, Chengdu, Guam, Batangas, Subic, and the Sichuan/Wuhan Pipeline.  In addition, Chris will sit on the Board of Directors of SK/Enron and act as the primary Enron contact outside of the joint venture.</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India</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Wade Cline will be responsible for Metgas and Dabhol Power Company.</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In addition to the persons detailed above, the heads of the larger businesses within the EGA portfolio are also considered important members of the senior management team.  The nature of our ownership will necessitate that they focus their day to day efforts on the business that they run.  However, their input into the overall management of EGA will be sought periodically.  These important leaders are Darrell Kinder, President of SK/Enron in Korea; Neil MacGregor, President of Dabhol Power Company in India; and Eduardo Ojea Quintana, CEO of TGS in Argentina.  We also have two key executives that will devote only part of their time to EGA.  These are Greg Curran in Puerto Rico and Orlando Gonzalez in Brazil who will work as part of the Enron Global Markets and Enron Americas organizations, respectively.</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Joining the commercial members of the senior management team is a talented group of executives that will head up various functions within EGA:</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Legal</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Bruce Lundstrom will serve as General Counsel of EGA, responsible for coordinating the provision of legal services to all of the businesses that are part of EGA.  In addition, the senior management team will look to Bruce to provide advice and counsel related to overall management of the EGA portfolio.</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Accounting</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Jeff Sommers will serve as Chief Accounting Officer of EGA, responsible for all reporting and transaction support efforts.</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Human Resources</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Scott Gilchrist will be responsible for coordinating all EGA human resource efforts.  In addition, Scott and his team will continue to provide human resource support to all Enron entities in Asia.</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Public Relations</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color w:val="000000"/>
          <w:lang w:eastAsia="en-US"/>
        </w:rPr>
      </w:pPr>
      <w:r>
        <w:rPr>
          <w:color w:val="000000"/>
          <w:lang w:eastAsia="en-US"/>
        </w:rPr>
        <w:t>John Ambler will be responsible for all EGA public relations efforts.  In addition, John will be responsible for the public relations function within Enron Global Markets.</w:t>
      </w:r>
    </w:p>
    <w:p>
      <w:pPr>
        <w:pStyle w:val="Normal"/>
        <w:spacing w:lineRule="atLeast" w:line="240"/>
        <w:jc w:val="both"/>
        <w:rPr>
          <w:color w:val="000000"/>
          <w:lang w:eastAsia="en-US"/>
        </w:rPr>
      </w:pPr>
      <w:r>
        <w:rPr>
          <w:color w:val="000000"/>
          <w:lang w:eastAsia="en-US"/>
        </w:rPr>
      </w:r>
    </w:p>
    <w:p>
      <w:pPr>
        <w:pStyle w:val="Normal"/>
        <w:spacing w:lineRule="atLeast" w:line="240"/>
        <w:jc w:val="both"/>
        <w:rPr>
          <w:b/>
          <w:color w:val="000000"/>
          <w:lang w:eastAsia="en-US"/>
        </w:rPr>
      </w:pPr>
      <w:r>
        <w:rPr>
          <w:b/>
          <w:color w:val="000000"/>
          <w:lang w:eastAsia="en-US"/>
        </w:rPr>
        <w:t>Government Relations</w:t>
      </w:r>
    </w:p>
    <w:p>
      <w:pPr>
        <w:pStyle w:val="Normal"/>
        <w:spacing w:lineRule="atLeast" w:line="240"/>
        <w:jc w:val="both"/>
        <w:rPr>
          <w:b/>
          <w:color w:val="000000"/>
          <w:lang w:eastAsia="en-US"/>
        </w:rPr>
      </w:pPr>
      <w:r>
        <w:rPr>
          <w:b/>
          <w:color w:val="000000"/>
          <w:lang w:eastAsia="en-US"/>
        </w:rPr>
      </w:r>
    </w:p>
    <w:p>
      <w:pPr>
        <w:pStyle w:val="Normal"/>
        <w:spacing w:lineRule="atLeast" w:line="240"/>
        <w:jc w:val="both"/>
        <w:rPr/>
      </w:pPr>
      <w:r>
        <w:rPr/>
        <w:t>The Government Relations responsibility is split geographically between Rick Shapiro (The Americas) and Mark Schroeder (Eastern Hemisphere).</w:t>
      </w:r>
    </w:p>
    <w:p>
      <w:pPr>
        <w:pStyle w:val="Normal"/>
        <w:spacing w:lineRule="atLeast" w:line="240"/>
        <w:jc w:val="both"/>
        <w:rPr>
          <w:i/>
          <w:i/>
          <w:color w:val="000000"/>
          <w:lang w:eastAsia="en-US"/>
        </w:rPr>
      </w:pPr>
      <w:r>
        <w:rPr>
          <w:i/>
          <w:color w:val="000000"/>
          <w:lang w:eastAsia="en-US"/>
        </w:rPr>
      </w:r>
    </w:p>
    <w:p>
      <w:pPr>
        <w:pStyle w:val="BodyText"/>
        <w:rPr/>
      </w:pPr>
      <w:r>
        <w:rPr/>
        <w:t>Each of these functional heads will be following up with more organizational detail on their respective groups as they pertain to EGA.</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We believe everyone is fully aware of the challenges facing EGA this year and cannot tell you how pleased we are to have the caliber of individuals that we have throughout this organization.  It takes immense talent and commitment to overcome obstacles and solve problems.  We have that talent and that commitment, and we are completely convinced of our ability to succeed.</w:t>
      </w:r>
    </w:p>
    <w:p>
      <w:pPr>
        <w:pStyle w:val="Normal"/>
        <w:spacing w:lineRule="atLeast" w:line="240"/>
        <w:jc w:val="both"/>
        <w:rPr>
          <w:color w:val="000000"/>
          <w:lang w:eastAsia="en-US"/>
        </w:rPr>
      </w:pPr>
      <w:r>
        <w:rPr>
          <w:color w:val="000000"/>
          <w:lang w:eastAsia="en-US"/>
        </w:rPr>
      </w:r>
    </w:p>
    <w:p>
      <w:pPr>
        <w:pStyle w:val="Normal"/>
        <w:rPr>
          <w:color w:val="000000"/>
          <w:lang w:eastAsia="en-US"/>
        </w:rPr>
      </w:pPr>
      <w:r>
        <w:rPr>
          <w:color w:val="000000"/>
          <w:lang w:eastAsia="en-US"/>
        </w:rPr>
      </w:r>
    </w:p>
    <w:sectPr>
      <w:type w:val="nextPage"/>
      <w:pgSz w:w="12240" w:h="15840"/>
      <w:pgMar w:left="1440" w:right="144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2001-01-22T13:57:00Z</dcterms:created>
  <dc:creator>gblack</dc:creator>
  <dc:description/>
  <dc:language>en-CA</dc:language>
  <cp:lastModifiedBy>gblack</cp:lastModifiedBy>
  <cp:lastPrinted>2001-01-22T14:45:00Z</cp:lastPrinted>
  <dcterms:modified xsi:type="dcterms:W3CDTF">2001-01-22T19:07:00Z</dcterms:modified>
  <cp:revision>7</cp:revision>
  <dc:subject/>
  <dc:title>Memorandum</dc:title>
</cp:coreProperties>
</file>