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end="-540"/>
        <w:jc w:val="center"/>
        <w:rPr>
          <w:b/>
          <w:sz w:val="22"/>
        </w:rPr>
      </w:pPr>
      <w:r>
        <w:rPr>
          <w:b/>
          <w:sz w:val="22"/>
        </w:rPr>
        <w:t>Enron Global Assets</w:t>
      </w:r>
    </w:p>
    <w:p>
      <w:pPr>
        <w:pStyle w:val="Heading2"/>
        <w:ind w:hanging="0" w:start="0" w:end="-540"/>
        <w:rPr>
          <w:sz w:val="22"/>
        </w:rPr>
      </w:pPr>
      <w:r>
        <w:rPr>
          <w:sz w:val="22"/>
        </w:rPr>
        <w:t>Monthly Report</w:t>
      </w:r>
    </w:p>
    <w:p>
      <w:pPr>
        <w:pStyle w:val="Normal"/>
        <w:ind w:end="-540"/>
        <w:jc w:val="center"/>
        <w:rPr>
          <w:b/>
          <w:sz w:val="22"/>
        </w:rPr>
      </w:pPr>
      <w:r>
        <w:rPr>
          <w:b/>
          <w:sz w:val="22"/>
        </w:rPr>
        <w:t>May 2001</w:t>
      </w:r>
    </w:p>
    <w:p>
      <w:pPr>
        <w:pStyle w:val="Heading1"/>
        <w:ind w:hanging="0" w:start="0" w:end="-540"/>
        <w:rPr>
          <w:b/>
          <w:sz w:val="22"/>
        </w:rPr>
      </w:pPr>
      <w:r>
        <w:rPr>
          <w:b/>
          <w:sz w:val="22"/>
        </w:rPr>
      </w:r>
    </w:p>
    <w:p>
      <w:pPr>
        <w:pStyle w:val="Heading1"/>
        <w:ind w:hanging="0" w:start="0" w:end="-540"/>
        <w:rPr>
          <w:sz w:val="22"/>
        </w:rPr>
      </w:pPr>
      <w:r>
        <w:rPr>
          <w:sz w:val="22"/>
        </w:rPr>
      </w:r>
    </w:p>
    <w:p>
      <w:pPr>
        <w:pStyle w:val="Heading1"/>
        <w:numPr>
          <w:ilvl w:val="0"/>
          <w:numId w:val="9"/>
        </w:numPr>
        <w:ind w:hanging="720" w:start="720" w:end="-540"/>
        <w:rPr>
          <w:sz w:val="22"/>
        </w:rPr>
      </w:pPr>
      <w:r>
        <w:rPr>
          <w:b/>
          <w:sz w:val="22"/>
        </w:rPr>
        <w:t xml:space="preserve">Major EGA Initiatives </w:t>
      </w:r>
      <w:r>
        <w:rPr>
          <w:sz w:val="22"/>
        </w:rPr>
        <w:t>(Bruce Lundstrom and Bill Krenz)</w:t>
      </w:r>
    </w:p>
    <w:p>
      <w:pPr>
        <w:pStyle w:val="Heading1"/>
        <w:ind w:hanging="0" w:start="0" w:end="-540"/>
        <w:rPr>
          <w:sz w:val="22"/>
        </w:rPr>
      </w:pPr>
      <w:r>
        <w:rPr>
          <w:sz w:val="22"/>
        </w:rPr>
      </w:r>
    </w:p>
    <w:p>
      <w:pPr>
        <w:pStyle w:val="BodyText"/>
        <w:ind w:start="720" w:end="-540"/>
        <w:rPr>
          <w:sz w:val="22"/>
        </w:rPr>
      </w:pPr>
      <w:r>
        <w:rPr>
          <w:sz w:val="22"/>
        </w:rPr>
        <w:t xml:space="preserve">Prospective sales to AES and Project Hurricane continue.  EGA Legal is involved in accumulating documents and information.  Bill Krenz is involved in the deal documentation. </w:t>
      </w:r>
    </w:p>
    <w:p>
      <w:pPr>
        <w:pStyle w:val="Normal"/>
        <w:ind w:end="-540"/>
        <w:rPr>
          <w:sz w:val="22"/>
        </w:rPr>
      </w:pPr>
      <w:r>
        <w:rPr>
          <w:sz w:val="22"/>
        </w:rPr>
      </w:r>
    </w:p>
    <w:p>
      <w:pPr>
        <w:pStyle w:val="BodyText"/>
        <w:numPr>
          <w:ilvl w:val="0"/>
          <w:numId w:val="9"/>
        </w:numPr>
        <w:tabs>
          <w:tab w:val="clear" w:pos="720"/>
          <w:tab w:val="left" w:pos="1440" w:leader="none"/>
          <w:tab w:val="left" w:pos="2160" w:leader="none"/>
          <w:tab w:val="left" w:pos="7740" w:leader="none"/>
          <w:tab w:val="left" w:pos="8370" w:leader="none"/>
        </w:tabs>
        <w:ind w:hanging="720" w:start="720" w:end="-540"/>
        <w:rPr>
          <w:sz w:val="22"/>
        </w:rPr>
      </w:pPr>
      <w:r>
        <w:rPr>
          <w:b/>
          <w:sz w:val="22"/>
        </w:rPr>
        <w:t>China</w:t>
      </w:r>
      <w:r>
        <w:rPr>
          <w:sz w:val="22"/>
        </w:rPr>
        <w:t xml:space="preserve"> (Bill Krenz)</w:t>
      </w:r>
    </w:p>
    <w:p>
      <w:pPr>
        <w:pStyle w:val="BodyText"/>
        <w:tabs>
          <w:tab w:val="left" w:pos="720" w:leader="none"/>
          <w:tab w:val="left" w:pos="1440" w:leader="none"/>
          <w:tab w:val="left" w:pos="2160" w:leader="none"/>
          <w:tab w:val="left" w:pos="7740" w:leader="none"/>
          <w:tab w:val="left" w:pos="8370" w:leader="none"/>
        </w:tabs>
        <w:ind w:start="720" w:end="-540"/>
        <w:rPr>
          <w:sz w:val="22"/>
          <w:u w:val="single"/>
        </w:rPr>
      </w:pPr>
      <w:r>
        <w:rPr>
          <w:sz w:val="22"/>
          <w:u w:val="single"/>
        </w:rPr>
        <w:t>Hainan Meinan Power Company (“HMPC”) Repatriation</w:t>
      </w:r>
    </w:p>
    <w:p>
      <w:pPr>
        <w:pStyle w:val="BodyText"/>
        <w:tabs>
          <w:tab w:val="clear" w:pos="720"/>
          <w:tab w:val="left" w:pos="7740" w:leader="none"/>
          <w:tab w:val="left" w:pos="8370" w:leader="none"/>
        </w:tabs>
        <w:ind w:end="-540"/>
        <w:rPr>
          <w:b/>
          <w:sz w:val="22"/>
          <w:u w:val="single"/>
        </w:rPr>
      </w:pPr>
      <w:r>
        <w:rPr>
          <w:b/>
          <w:sz w:val="22"/>
          <w:u w:val="single"/>
        </w:rPr>
      </w:r>
    </w:p>
    <w:p>
      <w:pPr>
        <w:pStyle w:val="BodyText"/>
        <w:ind w:start="720" w:end="-540"/>
        <w:rPr>
          <w:sz w:val="22"/>
        </w:rPr>
      </w:pPr>
      <w:r>
        <w:rPr>
          <w:sz w:val="22"/>
        </w:rPr>
        <w:t>HMPC now has the RMB equivalent of approximately US$ 156 million in a bank account in Haikou – proceeds from the sale of its Hainan power plant to HEPCO.  The process is underway with Chinese authorities regarding the conversion of those funds to US dollars and the repatriation of those funds back to the US.  The process of liquidating HMPC is anticipated to commence shortly.</w:t>
      </w:r>
    </w:p>
    <w:p>
      <w:pPr>
        <w:pStyle w:val="BodyText"/>
        <w:ind w:start="720" w:end="-540"/>
        <w:rPr>
          <w:sz w:val="22"/>
        </w:rPr>
      </w:pPr>
      <w:r>
        <w:rPr>
          <w:sz w:val="22"/>
        </w:rPr>
      </w:r>
    </w:p>
    <w:p>
      <w:pPr>
        <w:pStyle w:val="BodyText"/>
        <w:ind w:start="720" w:end="-540"/>
        <w:rPr/>
      </w:pPr>
      <w:r>
        <w:rPr>
          <w:b/>
          <w:sz w:val="22"/>
        </w:rPr>
        <w:t xml:space="preserve">Sichuan to Wuhan Pipeline Project </w:t>
      </w:r>
      <w:r>
        <w:rPr>
          <w:sz w:val="22"/>
        </w:rPr>
        <w:t>(Bill Krenz)</w:t>
      </w:r>
    </w:p>
    <w:p>
      <w:pPr>
        <w:pStyle w:val="BodyText"/>
        <w:ind w:start="720" w:end="-540"/>
        <w:rPr>
          <w:b/>
          <w:sz w:val="22"/>
        </w:rPr>
      </w:pPr>
      <w:r>
        <w:rPr>
          <w:b/>
          <w:sz w:val="22"/>
        </w:rPr>
      </w:r>
    </w:p>
    <w:p>
      <w:pPr>
        <w:pStyle w:val="BodyText"/>
        <w:ind w:start="720" w:end="-540"/>
        <w:rPr>
          <w:sz w:val="22"/>
        </w:rPr>
      </w:pPr>
      <w:r>
        <w:rPr>
          <w:sz w:val="22"/>
        </w:rPr>
        <w:t>Discussions are ongoing with United Technologies (“UT”) regarding a disposition to UT of most of EGA’s interest in the development of the gas pipeline project from Sichuan to Wuhan, PRC.</w:t>
      </w:r>
    </w:p>
    <w:p>
      <w:pPr>
        <w:pStyle w:val="BodyText"/>
        <w:tabs>
          <w:tab w:val="left" w:pos="720" w:leader="none"/>
        </w:tabs>
        <w:ind w:end="-540"/>
        <w:rPr>
          <w:sz w:val="22"/>
        </w:rPr>
      </w:pPr>
      <w:r>
        <w:rPr>
          <w:sz w:val="22"/>
        </w:rPr>
      </w:r>
    </w:p>
    <w:p>
      <w:pPr>
        <w:pStyle w:val="Heading1"/>
        <w:ind w:hanging="0" w:start="0" w:end="-540"/>
        <w:rPr/>
      </w:pPr>
      <w:r>
        <w:rPr>
          <w:sz w:val="22"/>
        </w:rPr>
        <w:t>III.</w:t>
        <w:tab/>
      </w:r>
      <w:r>
        <w:rPr>
          <w:b/>
          <w:sz w:val="22"/>
        </w:rPr>
        <w:t xml:space="preserve">Enron Nigeria Power Holding Limited  </w:t>
      </w:r>
      <w:r>
        <w:rPr>
          <w:sz w:val="22"/>
        </w:rPr>
        <w:t>(Yao Apasu)</w:t>
      </w:r>
    </w:p>
    <w:p>
      <w:pPr>
        <w:pStyle w:val="Normal"/>
        <w:ind w:firstLine="720" w:end="-540"/>
        <w:rPr>
          <w:sz w:val="22"/>
        </w:rPr>
      </w:pPr>
      <w:r>
        <w:rPr>
          <w:sz w:val="22"/>
        </w:rPr>
        <w:t>548 MW gas-fired plant in Lagos, Nigeria</w:t>
      </w:r>
    </w:p>
    <w:p>
      <w:pPr>
        <w:pStyle w:val="Normal"/>
        <w:ind w:firstLine="720" w:end="-540"/>
        <w:rPr>
          <w:sz w:val="22"/>
          <w:u w:val="single"/>
        </w:rPr>
      </w:pPr>
      <w:r>
        <w:rPr>
          <w:sz w:val="22"/>
          <w:u w:val="single"/>
        </w:rPr>
        <w:t>280 km Pipeline from the Niger Delta to Lagos</w:t>
      </w:r>
    </w:p>
    <w:p>
      <w:pPr>
        <w:pStyle w:val="Normal"/>
        <w:ind w:end="-540"/>
        <w:rPr>
          <w:sz w:val="22"/>
          <w:u w:val="single"/>
        </w:rPr>
      </w:pPr>
      <w:r>
        <w:rPr>
          <w:sz w:val="22"/>
          <w:u w:val="single"/>
        </w:rPr>
      </w:r>
    </w:p>
    <w:p>
      <w:pPr>
        <w:pStyle w:val="Normal"/>
        <w:ind w:hanging="720" w:start="720" w:end="-540"/>
        <w:rPr>
          <w:sz w:val="22"/>
        </w:rPr>
      </w:pPr>
      <w:r>
        <w:rPr>
          <w:sz w:val="22"/>
        </w:rPr>
        <w:tab/>
        <w:t>Meetings in Abuja and Lagos are planned for the last week of May and the first week of June to continue renegotiating the IPP PPA.</w:t>
      </w:r>
    </w:p>
    <w:p>
      <w:pPr>
        <w:pStyle w:val="Normal"/>
        <w:ind w:end="-540"/>
        <w:rPr>
          <w:sz w:val="22"/>
        </w:rPr>
      </w:pPr>
      <w:r>
        <w:rPr>
          <w:sz w:val="22"/>
        </w:rPr>
      </w:r>
    </w:p>
    <w:p>
      <w:pPr>
        <w:pStyle w:val="Normal"/>
        <w:keepNext w:val="true"/>
        <w:keepLines/>
        <w:ind w:end="-540"/>
        <w:rPr/>
      </w:pPr>
      <w:r>
        <w:rPr>
          <w:sz w:val="22"/>
        </w:rPr>
        <w:t>IV.</w:t>
        <w:tab/>
      </w:r>
      <w:r>
        <w:rPr>
          <w:b/>
          <w:sz w:val="22"/>
        </w:rPr>
        <w:t xml:space="preserve">Dominican Republic </w:t>
      </w:r>
      <w:r>
        <w:rPr>
          <w:sz w:val="22"/>
        </w:rPr>
        <w:t>(Yao Apasu)</w:t>
      </w:r>
    </w:p>
    <w:p>
      <w:pPr>
        <w:pStyle w:val="Heading3"/>
        <w:keepLines/>
        <w:ind w:end="-540"/>
        <w:rPr>
          <w:sz w:val="22"/>
        </w:rPr>
      </w:pPr>
      <w:r>
        <w:rPr>
          <w:sz w:val="22"/>
        </w:rPr>
        <w:t>Smith Enron Cogeneration Limited Partnership (SECLP)</w:t>
      </w:r>
    </w:p>
    <w:p>
      <w:pPr>
        <w:pStyle w:val="Normal"/>
        <w:keepNext w:val="true"/>
        <w:keepLines/>
        <w:ind w:end="-540"/>
        <w:rPr>
          <w:sz w:val="22"/>
        </w:rPr>
      </w:pPr>
      <w:r>
        <w:rPr>
          <w:sz w:val="22"/>
        </w:rPr>
      </w:r>
    </w:p>
    <w:p>
      <w:pPr>
        <w:pStyle w:val="BodyText"/>
        <w:numPr>
          <w:ilvl w:val="0"/>
          <w:numId w:val="3"/>
        </w:numPr>
        <w:ind w:hanging="720" w:start="1440" w:end="-540"/>
        <w:rPr>
          <w:sz w:val="22"/>
        </w:rPr>
      </w:pPr>
      <w:r>
        <w:rPr>
          <w:sz w:val="22"/>
          <w:u w:val="single"/>
        </w:rPr>
        <w:t>Transfer of PPA</w:t>
      </w:r>
      <w:r>
        <w:rPr>
          <w:sz w:val="22"/>
        </w:rPr>
        <w:t>. No new significant legal developments.</w:t>
      </w:r>
    </w:p>
    <w:p>
      <w:pPr>
        <w:pStyle w:val="BodyTextIndent2"/>
        <w:ind w:hanging="0" w:end="-540"/>
        <w:rPr>
          <w:sz w:val="22"/>
        </w:rPr>
      </w:pPr>
      <w:r>
        <w:rPr>
          <w:sz w:val="22"/>
        </w:rPr>
      </w:r>
    </w:p>
    <w:p>
      <w:pPr>
        <w:pStyle w:val="BodyTextIndent2"/>
        <w:numPr>
          <w:ilvl w:val="0"/>
          <w:numId w:val="3"/>
        </w:numPr>
        <w:ind w:hanging="720" w:start="1440" w:end="-540"/>
        <w:rPr>
          <w:sz w:val="22"/>
        </w:rPr>
      </w:pPr>
      <w:r>
        <w:rPr>
          <w:sz w:val="22"/>
          <w:u w:val="single"/>
        </w:rPr>
        <w:t>Delinquent Accounts Receivable</w:t>
      </w:r>
      <w:r>
        <w:rPr>
          <w:sz w:val="22"/>
        </w:rPr>
        <w:t>.  CDE’s internal counsel has communicated verbally to SECLP that it did not accept SECLP’s position regarding the invoiced suspended electricity during shutdown periods last year.  CDE is arguing that SECLP could have paid itself for any amounts due directly from the government’s letter of credit instead of shutting down.  SECLP has requested the reference to the pertinent provisions.  A meeting is scheduled with their legal counsel to discuss the matter.  SECLP is considering another shutdown at the end of the month.</w:t>
      </w:r>
    </w:p>
    <w:p>
      <w:pPr>
        <w:pStyle w:val="BodyTextIndent"/>
        <w:ind w:start="1440" w:end="-540"/>
        <w:rPr>
          <w:sz w:val="22"/>
        </w:rPr>
      </w:pPr>
      <w:r>
        <w:rPr>
          <w:sz w:val="22"/>
        </w:rPr>
      </w:r>
    </w:p>
    <w:p>
      <w:pPr>
        <w:pStyle w:val="BodyTextIndent3"/>
        <w:numPr>
          <w:ilvl w:val="0"/>
          <w:numId w:val="3"/>
        </w:numPr>
        <w:ind w:hanging="720" w:start="1440" w:end="-540"/>
        <w:rPr>
          <w:sz w:val="22"/>
        </w:rPr>
      </w:pPr>
      <w:r>
        <w:rPr>
          <w:sz w:val="22"/>
          <w:u w:val="single"/>
        </w:rPr>
        <w:t>Boilers</w:t>
      </w:r>
      <w:r>
        <w:rPr>
          <w:sz w:val="22"/>
        </w:rPr>
        <w:t>. No new significant legal developments.</w:t>
      </w:r>
    </w:p>
    <w:p>
      <w:pPr>
        <w:pStyle w:val="Normal"/>
        <w:ind w:end="-540"/>
        <w:rPr>
          <w:sz w:val="22"/>
        </w:rPr>
      </w:pPr>
      <w:r>
        <w:rPr>
          <w:sz w:val="22"/>
        </w:rPr>
      </w:r>
    </w:p>
    <w:p>
      <w:pPr>
        <w:pStyle w:val="BodyTextIndent2"/>
        <w:numPr>
          <w:ilvl w:val="0"/>
          <w:numId w:val="3"/>
        </w:numPr>
        <w:ind w:hanging="720" w:start="1440" w:end="-540"/>
        <w:rPr>
          <w:sz w:val="22"/>
        </w:rPr>
      </w:pPr>
      <w:r>
        <w:rPr>
          <w:sz w:val="22"/>
          <w:u w:val="single"/>
        </w:rPr>
        <w:t>Steam Turbines</w:t>
      </w:r>
      <w:r>
        <w:rPr>
          <w:sz w:val="22"/>
        </w:rPr>
        <w:t xml:space="preserve">.  A meeting with HSB (SECLP’s insurance company) is planned for June 13 to continue the negotiation of the steam turbine claims. </w:t>
      </w:r>
    </w:p>
    <w:p>
      <w:pPr>
        <w:pStyle w:val="BodyTextIndent2"/>
        <w:ind w:hanging="0" w:start="0" w:end="-540"/>
        <w:rPr>
          <w:sz w:val="22"/>
        </w:rPr>
      </w:pPr>
      <w:r>
        <w:rPr>
          <w:sz w:val="22"/>
        </w:rPr>
      </w:r>
    </w:p>
    <w:p>
      <w:pPr>
        <w:pStyle w:val="BodyText"/>
        <w:numPr>
          <w:ilvl w:val="0"/>
          <w:numId w:val="6"/>
        </w:numPr>
        <w:tabs>
          <w:tab w:val="clear" w:pos="720"/>
          <w:tab w:val="left" w:pos="1440" w:leader="none"/>
          <w:tab w:val="left" w:pos="2160" w:leader="none"/>
          <w:tab w:val="left" w:pos="7740" w:leader="none"/>
          <w:tab w:val="left" w:pos="8370" w:leader="none"/>
        </w:tabs>
        <w:ind w:hanging="720" w:start="720" w:end="-540"/>
        <w:rPr>
          <w:sz w:val="22"/>
        </w:rPr>
      </w:pPr>
      <w:r>
        <w:rPr>
          <w:b/>
          <w:sz w:val="22"/>
        </w:rPr>
        <w:t>Jamaica</w:t>
      </w:r>
      <w:r>
        <w:rPr>
          <w:sz w:val="22"/>
        </w:rPr>
        <w:t xml:space="preserve"> (Yao Apasu)</w:t>
      </w:r>
    </w:p>
    <w:p>
      <w:pPr>
        <w:pStyle w:val="BodyText"/>
        <w:tabs>
          <w:tab w:val="left" w:pos="720" w:leader="none"/>
          <w:tab w:val="left" w:pos="1440" w:leader="none"/>
          <w:tab w:val="left" w:pos="2160" w:leader="none"/>
          <w:tab w:val="left" w:pos="7740" w:leader="none"/>
          <w:tab w:val="left" w:pos="8370" w:leader="none"/>
        </w:tabs>
        <w:ind w:start="720" w:end="-540"/>
        <w:rPr>
          <w:sz w:val="22"/>
        </w:rPr>
      </w:pPr>
      <w:r>
        <w:rPr>
          <w:sz w:val="22"/>
          <w:u w:val="single"/>
        </w:rPr>
        <w:t>ILG</w:t>
      </w:r>
    </w:p>
    <w:p>
      <w:pPr>
        <w:pStyle w:val="BodyText"/>
        <w:tabs>
          <w:tab w:val="left" w:pos="720" w:leader="none"/>
          <w:tab w:val="left" w:pos="1440" w:leader="none"/>
          <w:tab w:val="left" w:pos="2160" w:leader="none"/>
          <w:tab w:val="left" w:pos="7740" w:leader="none"/>
          <w:tab w:val="left" w:pos="8370" w:leader="none"/>
        </w:tabs>
        <w:ind w:end="-540"/>
        <w:rPr>
          <w:sz w:val="22"/>
        </w:rPr>
      </w:pPr>
      <w:r>
        <w:rPr>
          <w:sz w:val="22"/>
        </w:rPr>
      </w:r>
    </w:p>
    <w:p>
      <w:pPr>
        <w:pStyle w:val="BodyText"/>
        <w:tabs>
          <w:tab w:val="left" w:pos="720" w:leader="none"/>
          <w:tab w:val="left" w:pos="1440" w:leader="none"/>
          <w:tab w:val="left" w:pos="2160" w:leader="none"/>
          <w:tab w:val="left" w:pos="7740" w:leader="none"/>
          <w:tab w:val="left" w:pos="8370" w:leader="none"/>
        </w:tabs>
        <w:ind w:hanging="720" w:start="720" w:end="-540"/>
        <w:rPr>
          <w:sz w:val="22"/>
        </w:rPr>
      </w:pPr>
      <w:r>
        <w:rPr>
          <w:sz w:val="22"/>
        </w:rPr>
        <w:tab/>
        <w:t xml:space="preserve">No update. </w:t>
      </w:r>
    </w:p>
    <w:p>
      <w:pPr>
        <w:pStyle w:val="BodyText"/>
        <w:tabs>
          <w:tab w:val="left" w:pos="720" w:leader="none"/>
          <w:tab w:val="left" w:pos="1440" w:leader="none"/>
          <w:tab w:val="left" w:pos="2160" w:leader="none"/>
          <w:tab w:val="left" w:pos="7740" w:leader="none"/>
          <w:tab w:val="left" w:pos="8370" w:leader="none"/>
        </w:tabs>
        <w:ind w:end="-540"/>
        <w:rPr>
          <w:sz w:val="22"/>
        </w:rPr>
      </w:pPr>
      <w:r>
        <w:rPr>
          <w:sz w:val="22"/>
        </w:rPr>
      </w:r>
      <w:r>
        <w:br w:type="page"/>
      </w:r>
    </w:p>
    <w:p>
      <w:pPr>
        <w:pStyle w:val="BodyText"/>
        <w:numPr>
          <w:ilvl w:val="0"/>
          <w:numId w:val="6"/>
        </w:numPr>
        <w:ind w:hanging="720" w:start="720" w:end="-540"/>
        <w:rPr>
          <w:sz w:val="22"/>
        </w:rPr>
      </w:pPr>
      <w:r>
        <w:rPr>
          <w:b/>
          <w:sz w:val="22"/>
        </w:rPr>
        <w:t>India</w:t>
      </w:r>
      <w:r>
        <w:rPr>
          <w:sz w:val="22"/>
        </w:rPr>
        <w:t xml:space="preserve"> (Robert Mathis and Paul Kraske)</w:t>
      </w:r>
    </w:p>
    <w:p>
      <w:pPr>
        <w:pStyle w:val="BodyText"/>
        <w:ind w:start="720" w:end="-540"/>
        <w:rPr>
          <w:sz w:val="22"/>
          <w:u w:val="single"/>
        </w:rPr>
      </w:pPr>
      <w:r>
        <w:rPr>
          <w:sz w:val="22"/>
          <w:u w:val="single"/>
        </w:rPr>
        <w:t>Dabhol Power Company</w:t>
      </w:r>
    </w:p>
    <w:p>
      <w:pPr>
        <w:pStyle w:val="Heading2"/>
        <w:ind w:hanging="0" w:start="0"/>
        <w:rPr>
          <w:b w:val="false"/>
          <w:sz w:val="22"/>
          <w:u w:val="single"/>
        </w:rPr>
      </w:pPr>
      <w:r>
        <w:rPr>
          <w:b w:val="false"/>
          <w:sz w:val="22"/>
          <w:u w:val="single"/>
        </w:rPr>
      </w:r>
    </w:p>
    <w:p>
      <w:pPr>
        <w:pStyle w:val="Heading1"/>
        <w:ind w:firstLine="720" w:start="0" w:end="0"/>
        <w:jc w:val="both"/>
        <w:rPr/>
      </w:pPr>
      <w:r>
        <w:rPr>
          <w:sz w:val="22"/>
        </w:rPr>
        <w:t>A.</w:t>
        <w:tab/>
      </w:r>
      <w:r>
        <w:rPr>
          <w:sz w:val="22"/>
          <w:u w:val="single"/>
        </w:rPr>
        <w:t>MSEB Payment Default and Status</w:t>
      </w:r>
    </w:p>
    <w:p>
      <w:pPr>
        <w:pStyle w:val="Normal"/>
        <w:jc w:val="both"/>
        <w:rPr>
          <w:sz w:val="22"/>
          <w:u w:val="single"/>
        </w:rPr>
      </w:pPr>
      <w:r>
        <w:rPr>
          <w:sz w:val="22"/>
          <w:u w:val="single"/>
        </w:rPr>
      </w:r>
    </w:p>
    <w:p>
      <w:pPr>
        <w:pStyle w:val="Normal"/>
        <w:ind w:start="1440" w:end="0"/>
        <w:jc w:val="both"/>
        <w:rPr>
          <w:sz w:val="22"/>
        </w:rPr>
      </w:pPr>
      <w:r>
        <w:rPr>
          <w:sz w:val="22"/>
        </w:rPr>
        <w:t>The remainder of the December bill, an amount of Rs.102 Crs, continues to be outstanding. Neither Government of Maharashtra (“GOM”) nor Government of India (“GOI”) has paid under their respective guarantees.</w:t>
      </w:r>
    </w:p>
    <w:p>
      <w:pPr>
        <w:pStyle w:val="Normal"/>
        <w:jc w:val="both"/>
        <w:rPr>
          <w:sz w:val="22"/>
        </w:rPr>
      </w:pPr>
      <w:r>
        <w:rPr>
          <w:sz w:val="22"/>
        </w:rPr>
      </w:r>
    </w:p>
    <w:p>
      <w:pPr>
        <w:pStyle w:val="Normal"/>
        <w:ind w:start="1440" w:end="0"/>
        <w:jc w:val="both"/>
        <w:rPr>
          <w:sz w:val="22"/>
        </w:rPr>
      </w:pPr>
      <w:r>
        <w:rPr>
          <w:sz w:val="22"/>
        </w:rPr>
        <w:t xml:space="preserve">Similarly, the January bill, in the amount of Rs.127 Crs., remains unpaid as it is under dispute due to the Maharashtra State Electricity Board’s (“MSEB”) claim of misdeclaration.  </w:t>
      </w:r>
    </w:p>
    <w:p>
      <w:pPr>
        <w:pStyle w:val="Normal"/>
        <w:jc w:val="both"/>
        <w:rPr>
          <w:sz w:val="22"/>
        </w:rPr>
      </w:pPr>
      <w:r>
        <w:rPr>
          <w:sz w:val="22"/>
        </w:rPr>
      </w:r>
    </w:p>
    <w:p>
      <w:pPr>
        <w:pStyle w:val="Normal"/>
        <w:ind w:start="1440" w:end="0"/>
        <w:jc w:val="both"/>
        <w:rPr/>
      </w:pPr>
      <w:r>
        <w:rPr>
          <w:sz w:val="22"/>
        </w:rPr>
        <w:t>The February bill in the amount of Rs.110 Crs. was paid by MSEB on March 30, 2001, which payment was made under protest. The March bill, submitted for Rs.147 Crs., was paid by MSEB in the amount of Rs.134 Crs on April 26, 2001.  The payment was made under protest.  The April bill in the amount of Rs.139 Crs. was submitted to MSEB on May 5</w:t>
      </w:r>
      <w:r>
        <w:rPr>
          <w:sz w:val="22"/>
          <w:vertAlign w:val="superscript"/>
        </w:rPr>
        <w:t>th</w:t>
      </w:r>
      <w:r>
        <w:rPr>
          <w:sz w:val="22"/>
        </w:rPr>
        <w:t xml:space="preserve"> and will become due on May 25</w:t>
      </w:r>
      <w:r>
        <w:rPr>
          <w:sz w:val="22"/>
          <w:vertAlign w:val="superscript"/>
        </w:rPr>
        <w:t>th</w:t>
      </w:r>
      <w:r>
        <w:rPr>
          <w:sz w:val="22"/>
        </w:rPr>
        <w:t>.</w:t>
      </w:r>
    </w:p>
    <w:p>
      <w:pPr>
        <w:pStyle w:val="Normal"/>
        <w:jc w:val="both"/>
        <w:rPr>
          <w:sz w:val="22"/>
        </w:rPr>
      </w:pPr>
      <w:r>
        <w:rPr>
          <w:sz w:val="22"/>
        </w:rPr>
      </w:r>
    </w:p>
    <w:p>
      <w:pPr>
        <w:pStyle w:val="Normal"/>
        <w:ind w:firstLine="720" w:end="0"/>
        <w:jc w:val="both"/>
        <w:rPr>
          <w:sz w:val="22"/>
        </w:rPr>
      </w:pPr>
      <w:r>
        <w:rPr>
          <w:sz w:val="22"/>
        </w:rPr>
        <w:t>B.</w:t>
        <w:tab/>
        <w:t xml:space="preserve">Lender Meeting </w:t>
      </w:r>
    </w:p>
    <w:p>
      <w:pPr>
        <w:pStyle w:val="Normal"/>
        <w:jc w:val="both"/>
        <w:rPr>
          <w:sz w:val="22"/>
        </w:rPr>
      </w:pPr>
      <w:r>
        <w:rPr>
          <w:sz w:val="22"/>
        </w:rPr>
      </w:r>
    </w:p>
    <w:p>
      <w:pPr>
        <w:pStyle w:val="Normal"/>
        <w:ind w:start="1440" w:end="0"/>
        <w:jc w:val="both"/>
        <w:rPr>
          <w:sz w:val="22"/>
        </w:rPr>
      </w:pPr>
      <w:r>
        <w:rPr>
          <w:sz w:val="22"/>
        </w:rPr>
        <w:t xml:space="preserve">On April 23, 2001 a meeting was held with all the Phase I and Phase II lenders in London to discuss the status of the project.  At the conclusion of this meeting, DPC sought the lenders’ consent for issuing a Preliminary Termination Notice (“PTN”) to MSEB.  </w:t>
      </w:r>
    </w:p>
    <w:p>
      <w:pPr>
        <w:pStyle w:val="Normal"/>
        <w:jc w:val="both"/>
        <w:rPr>
          <w:sz w:val="22"/>
        </w:rPr>
      </w:pPr>
      <w:r>
        <w:rPr>
          <w:sz w:val="22"/>
        </w:rPr>
      </w:r>
    </w:p>
    <w:p>
      <w:pPr>
        <w:pStyle w:val="Normal"/>
        <w:ind w:start="1440" w:end="0"/>
        <w:jc w:val="both"/>
        <w:rPr>
          <w:sz w:val="22"/>
        </w:rPr>
      </w:pPr>
      <w:r>
        <w:rPr>
          <w:sz w:val="22"/>
        </w:rPr>
        <w:t>Subsequent to the meeting, the lenders decided to delay granting consent for a period of 3 weeks in order to allow MSEB, GOM and GOI additional time to cure their existing defaults.  On May 1, 2001 the international lenders sent a letter to GOI urging them to intervene to ensure the following matters, among others, are carried out within the 3 week period:</w:t>
      </w:r>
    </w:p>
    <w:p>
      <w:pPr>
        <w:pStyle w:val="Normal"/>
        <w:jc w:val="both"/>
        <w:rPr>
          <w:sz w:val="22"/>
        </w:rPr>
      </w:pPr>
      <w:r>
        <w:rPr>
          <w:sz w:val="22"/>
        </w:rPr>
      </w:r>
    </w:p>
    <w:p>
      <w:pPr>
        <w:pStyle w:val="Normal"/>
        <w:numPr>
          <w:ilvl w:val="0"/>
          <w:numId w:val="4"/>
        </w:numPr>
        <w:tabs>
          <w:tab w:val="clear" w:pos="720"/>
          <w:tab w:val="left" w:pos="1800" w:leader="none"/>
          <w:tab w:val="left" w:pos="2160" w:leader="none"/>
        </w:tabs>
        <w:ind w:hanging="360" w:start="2520" w:end="0"/>
        <w:jc w:val="both"/>
        <w:rPr>
          <w:sz w:val="22"/>
        </w:rPr>
      </w:pPr>
      <w:r>
        <w:rPr>
          <w:sz w:val="22"/>
        </w:rPr>
        <w:t>All amounts owed by MSEB to be paid in full at the earliest</w:t>
      </w:r>
    </w:p>
    <w:p>
      <w:pPr>
        <w:pStyle w:val="Normal"/>
        <w:numPr>
          <w:ilvl w:val="0"/>
          <w:numId w:val="4"/>
        </w:numPr>
        <w:tabs>
          <w:tab w:val="clear" w:pos="720"/>
          <w:tab w:val="left" w:pos="1800" w:leader="none"/>
          <w:tab w:val="left" w:pos="2160" w:leader="none"/>
        </w:tabs>
        <w:ind w:hanging="360" w:start="2520" w:end="0"/>
        <w:jc w:val="both"/>
        <w:rPr>
          <w:sz w:val="22"/>
        </w:rPr>
      </w:pPr>
      <w:r>
        <w:rPr>
          <w:sz w:val="22"/>
        </w:rPr>
        <w:t>Escrow to be reinstated</w:t>
      </w:r>
    </w:p>
    <w:p>
      <w:pPr>
        <w:pStyle w:val="Normal"/>
        <w:numPr>
          <w:ilvl w:val="0"/>
          <w:numId w:val="4"/>
        </w:numPr>
        <w:tabs>
          <w:tab w:val="clear" w:pos="720"/>
          <w:tab w:val="left" w:pos="1800" w:leader="none"/>
          <w:tab w:val="left" w:pos="2160" w:leader="none"/>
        </w:tabs>
        <w:ind w:hanging="360" w:start="2520" w:end="0"/>
        <w:jc w:val="both"/>
        <w:rPr>
          <w:sz w:val="22"/>
        </w:rPr>
      </w:pPr>
      <w:r>
        <w:rPr>
          <w:sz w:val="22"/>
        </w:rPr>
        <w:t>L/C to be enhanced</w:t>
      </w:r>
    </w:p>
    <w:p>
      <w:pPr>
        <w:pStyle w:val="Normal"/>
        <w:numPr>
          <w:ilvl w:val="0"/>
          <w:numId w:val="4"/>
        </w:numPr>
        <w:tabs>
          <w:tab w:val="clear" w:pos="720"/>
          <w:tab w:val="left" w:pos="1800" w:leader="none"/>
          <w:tab w:val="left" w:pos="2160" w:leader="none"/>
        </w:tabs>
        <w:ind w:hanging="360" w:start="2520" w:end="0"/>
        <w:jc w:val="both"/>
        <w:rPr>
          <w:sz w:val="22"/>
        </w:rPr>
      </w:pPr>
      <w:r>
        <w:rPr>
          <w:sz w:val="22"/>
        </w:rPr>
        <w:t>Governmental agencies not to impede the operations or construction of the project.</w:t>
      </w:r>
    </w:p>
    <w:p>
      <w:pPr>
        <w:pStyle w:val="Normal"/>
        <w:ind w:start="720" w:end="0"/>
        <w:jc w:val="both"/>
        <w:rPr>
          <w:sz w:val="22"/>
        </w:rPr>
      </w:pPr>
      <w:r>
        <w:rPr>
          <w:sz w:val="22"/>
        </w:rPr>
      </w:r>
    </w:p>
    <w:p>
      <w:pPr>
        <w:pStyle w:val="Heading5"/>
        <w:ind w:hanging="0" w:start="1440" w:end="0"/>
        <w:rPr>
          <w:rFonts w:ascii="Times New Roman" w:hAnsi="Times New Roman" w:cs="Times New Roman"/>
          <w:b w:val="false"/>
          <w:bCs/>
          <w:sz w:val="22"/>
        </w:rPr>
      </w:pPr>
      <w:r>
        <w:rPr>
          <w:rFonts w:cs="Times New Roman" w:ascii="Times New Roman" w:hAnsi="Times New Roman"/>
          <w:b w:val="false"/>
          <w:bCs/>
          <w:sz w:val="22"/>
        </w:rPr>
        <w:t>The Indian lenders sent a letter dated April 27, 2001 with substantially similar language and conditions to the GOI.</w:t>
      </w:r>
    </w:p>
    <w:p>
      <w:pPr>
        <w:pStyle w:val="Heading5"/>
        <w:ind w:hanging="0" w:start="0"/>
        <w:rPr>
          <w:rFonts w:ascii="Times New Roman" w:hAnsi="Times New Roman" w:cs="Times New Roman"/>
          <w:b w:val="false"/>
          <w:bCs/>
          <w:sz w:val="22"/>
        </w:rPr>
      </w:pPr>
      <w:r>
        <w:rPr>
          <w:rFonts w:cs="Times New Roman" w:ascii="Times New Roman" w:hAnsi="Times New Roman"/>
          <w:b w:val="false"/>
          <w:bCs/>
          <w:sz w:val="22"/>
        </w:rPr>
      </w:r>
    </w:p>
    <w:p>
      <w:pPr>
        <w:pStyle w:val="Heading5"/>
        <w:ind w:firstLine="720" w:start="0" w:end="0"/>
        <w:rPr/>
      </w:pPr>
      <w:r>
        <w:rPr>
          <w:rFonts w:cs="Times New Roman" w:ascii="Times New Roman" w:hAnsi="Times New Roman"/>
          <w:b w:val="false"/>
          <w:bCs/>
          <w:sz w:val="22"/>
        </w:rPr>
        <w:t>C.</w:t>
        <w:tab/>
      </w:r>
      <w:r>
        <w:rPr>
          <w:rFonts w:cs="Times New Roman" w:ascii="Times New Roman" w:hAnsi="Times New Roman"/>
          <w:b w:val="false"/>
          <w:bCs/>
          <w:sz w:val="22"/>
          <w:u w:val="single"/>
        </w:rPr>
        <w:t>Board Meeting</w:t>
      </w:r>
    </w:p>
    <w:p>
      <w:pPr>
        <w:pStyle w:val="Normal"/>
        <w:jc w:val="both"/>
        <w:rPr>
          <w:rFonts w:ascii="Times New Roman" w:hAnsi="Times New Roman" w:cs="Times New Roman"/>
          <w:b/>
          <w:bCs/>
          <w:sz w:val="22"/>
          <w:u w:val="single"/>
        </w:rPr>
      </w:pPr>
      <w:r>
        <w:rPr>
          <w:rFonts w:cs="Times New Roman"/>
          <w:b/>
          <w:bCs/>
          <w:sz w:val="22"/>
          <w:u w:val="single"/>
        </w:rPr>
      </w:r>
    </w:p>
    <w:p>
      <w:pPr>
        <w:pStyle w:val="Normal"/>
        <w:ind w:start="1440" w:end="0"/>
        <w:jc w:val="both"/>
        <w:rPr>
          <w:sz w:val="22"/>
        </w:rPr>
      </w:pPr>
      <w:r>
        <w:rPr>
          <w:sz w:val="22"/>
        </w:rPr>
        <w:t>On April 25, 2001 a meeting of the Board of Directors was held in London.  During this meeting the board passed a resolution authorizing the company to issue PTN and Transfer Notices, upon the occurrence of events giving rise to DPC’s right to serve such a PTN as determined by the Company and the Managing Director and/or the President.</w:t>
      </w:r>
    </w:p>
    <w:p>
      <w:pPr>
        <w:pStyle w:val="Normal"/>
        <w:jc w:val="both"/>
        <w:rPr>
          <w:sz w:val="22"/>
        </w:rPr>
      </w:pPr>
      <w:r>
        <w:rPr>
          <w:sz w:val="22"/>
        </w:rPr>
      </w:r>
    </w:p>
    <w:p>
      <w:pPr>
        <w:pStyle w:val="Normal"/>
        <w:ind w:firstLine="720" w:end="0"/>
        <w:jc w:val="both"/>
        <w:rPr/>
      </w:pPr>
      <w:r>
        <w:rPr>
          <w:sz w:val="22"/>
        </w:rPr>
        <w:t>D.</w:t>
        <w:tab/>
      </w:r>
      <w:r>
        <w:rPr>
          <w:sz w:val="22"/>
          <w:u w:val="single"/>
        </w:rPr>
        <w:t>GOM Re-negotiation meeting with DPC</w:t>
      </w:r>
    </w:p>
    <w:p>
      <w:pPr>
        <w:pStyle w:val="Normal"/>
        <w:ind w:start="720" w:end="0"/>
        <w:jc w:val="both"/>
        <w:rPr>
          <w:sz w:val="22"/>
          <w:u w:val="single"/>
        </w:rPr>
      </w:pPr>
      <w:r>
        <w:rPr>
          <w:sz w:val="22"/>
          <w:u w:val="single"/>
        </w:rPr>
      </w:r>
    </w:p>
    <w:p>
      <w:pPr>
        <w:pStyle w:val="BodyText3"/>
        <w:ind w:start="1440" w:end="0"/>
        <w:rPr>
          <w:rFonts w:ascii="Times New Roman" w:hAnsi="Times New Roman" w:cs="Times New Roman"/>
          <w:sz w:val="22"/>
        </w:rPr>
      </w:pPr>
      <w:r>
        <w:rPr>
          <w:rFonts w:cs="Times New Roman" w:ascii="Times New Roman" w:hAnsi="Times New Roman"/>
          <w:sz w:val="22"/>
        </w:rPr>
        <w:t xml:space="preserve">On Friday, May 11, 2001, DPC attended a meeting with the committee formed by the GOM to re-negotiate the PPA, which is comprised principally with the same members of the Godbole committee. The representatives from GOM, MSEB, and DPC attended the meeting, though the GOI representative did not attend. The chairman of the committee, Madhav Godbole, blamed DPC as the developer for the current problems faced by MSEB for the project. </w:t>
      </w:r>
    </w:p>
    <w:p>
      <w:pPr>
        <w:pStyle w:val="Normal"/>
        <w:jc w:val="both"/>
        <w:rPr>
          <w:rFonts w:ascii="Times New Roman" w:hAnsi="Times New Roman" w:cs="Times New Roman"/>
          <w:sz w:val="22"/>
        </w:rPr>
      </w:pPr>
      <w:r>
        <w:rPr>
          <w:rFonts w:cs="Times New Roman"/>
          <w:sz w:val="22"/>
        </w:rPr>
      </w:r>
    </w:p>
    <w:p>
      <w:pPr>
        <w:pStyle w:val="Normal"/>
        <w:keepNext w:val="true"/>
        <w:keepLines/>
        <w:ind w:end="-540"/>
        <w:rPr>
          <w:b/>
          <w:sz w:val="22"/>
        </w:rPr>
      </w:pPr>
      <w:r>
        <w:rPr>
          <w:sz w:val="22"/>
        </w:rPr>
        <w:t>VII.</w:t>
        <w:tab/>
      </w:r>
      <w:r>
        <w:rPr>
          <w:b/>
          <w:sz w:val="22"/>
        </w:rPr>
        <w:t xml:space="preserve">Puerto Rico </w:t>
      </w:r>
      <w:r>
        <w:rPr>
          <w:sz w:val="22"/>
        </w:rPr>
        <w:t>(Coralina Rivera)</w:t>
      </w:r>
    </w:p>
    <w:p>
      <w:pPr>
        <w:pStyle w:val="Heading7"/>
        <w:ind w:end="-540"/>
        <w:rPr>
          <w:b/>
          <w:sz w:val="22"/>
        </w:rPr>
      </w:pPr>
      <w:r>
        <w:rPr>
          <w:b/>
          <w:sz w:val="22"/>
        </w:rPr>
      </w:r>
    </w:p>
    <w:p>
      <w:pPr>
        <w:pStyle w:val="Heading7"/>
        <w:ind w:hanging="720" w:start="1440" w:end="-540"/>
        <w:rPr/>
      </w:pPr>
      <w:r>
        <w:rPr>
          <w:sz w:val="22"/>
        </w:rPr>
        <w:t>A.</w:t>
        <w:tab/>
      </w:r>
      <w:r>
        <w:rPr>
          <w:sz w:val="22"/>
          <w:u w:val="single"/>
        </w:rPr>
        <w:t xml:space="preserve">EcoElectrica 507 MW CC LNG Plant and 160k cubic meters LNG storage tank </w:t>
      </w:r>
    </w:p>
    <w:p>
      <w:pPr>
        <w:pStyle w:val="Heading2"/>
        <w:ind w:hanging="0" w:start="0" w:end="-540"/>
        <w:rPr>
          <w:b w:val="false"/>
          <w:sz w:val="22"/>
          <w:u w:val="single"/>
        </w:rPr>
      </w:pPr>
      <w:r>
        <w:rPr>
          <w:b w:val="false"/>
          <w:sz w:val="22"/>
          <w:u w:val="single"/>
        </w:rPr>
      </w:r>
    </w:p>
    <w:p>
      <w:pPr>
        <w:pStyle w:val="Normal"/>
        <w:ind w:start="1440" w:end="0"/>
        <w:rPr/>
      </w:pPr>
      <w:r>
        <w:rPr>
          <w:sz w:val="22"/>
          <w:u w:val="single"/>
        </w:rPr>
        <w:t>Siemens/Westinghouse (“ SW”)  warranty issues (including ramifications with lenders and underwriters)</w:t>
      </w:r>
      <w:r>
        <w:rPr>
          <w:sz w:val="22"/>
        </w:rPr>
        <w:t>.  Ongoing negotiations with insurance adjusters.  Expected net BI recovery is $20.4MM (out of net claim of $24.6 MM).</w:t>
      </w:r>
    </w:p>
    <w:p>
      <w:pPr>
        <w:pStyle w:val="Normal"/>
        <w:ind w:start="1440" w:end="0"/>
        <w:rPr>
          <w:sz w:val="22"/>
        </w:rPr>
      </w:pPr>
      <w:r>
        <w:rPr>
          <w:sz w:val="22"/>
        </w:rPr>
      </w:r>
    </w:p>
    <w:p>
      <w:pPr>
        <w:pStyle w:val="BodyTextIndent3"/>
        <w:ind w:hanging="0" w:start="1440" w:end="0"/>
        <w:rPr/>
      </w:pPr>
      <w:r>
        <w:rPr>
          <w:sz w:val="22"/>
          <w:u w:val="single"/>
        </w:rPr>
        <w:t>PREPA (buyer under the PPA)  payment issues</w:t>
      </w:r>
      <w:r>
        <w:rPr>
          <w:sz w:val="22"/>
        </w:rPr>
        <w:t>.  Eco still negotiating  proposal with PREPA  for the use of a CT-1 rotor to cover the “unscheduled” outage which started  on 5/14/01(45-90 days outage).</w:t>
      </w:r>
    </w:p>
    <w:p>
      <w:pPr>
        <w:pStyle w:val="BodyTextIndent3"/>
        <w:ind w:hanging="0" w:start="1440" w:end="0"/>
        <w:rPr>
          <w:sz w:val="22"/>
        </w:rPr>
      </w:pPr>
      <w:r>
        <w:rPr>
          <w:sz w:val="22"/>
        </w:rPr>
      </w:r>
    </w:p>
    <w:p>
      <w:pPr>
        <w:pStyle w:val="BodyTextIndent3"/>
        <w:rPr/>
      </w:pPr>
      <w:r>
        <w:rPr>
          <w:sz w:val="22"/>
          <w:u w:val="single"/>
        </w:rPr>
        <w:t>Sell down</w:t>
      </w:r>
      <w:r>
        <w:rPr>
          <w:sz w:val="22"/>
        </w:rPr>
        <w:t>.  Tractabel in the process of signing a CA with Enron.</w:t>
      </w:r>
    </w:p>
    <w:p>
      <w:pPr>
        <w:pStyle w:val="Normal"/>
        <w:rPr>
          <w:b/>
          <w:bCs/>
          <w:sz w:val="22"/>
        </w:rPr>
      </w:pPr>
      <w:r>
        <w:rPr>
          <w:b/>
          <w:bCs/>
          <w:sz w:val="22"/>
        </w:rPr>
      </w:r>
    </w:p>
    <w:p>
      <w:pPr>
        <w:pStyle w:val="Normal"/>
        <w:ind w:firstLine="720" w:end="-540"/>
        <w:rPr/>
      </w:pPr>
      <w:r>
        <w:rPr>
          <w:sz w:val="22"/>
        </w:rPr>
        <w:t>B.</w:t>
        <w:tab/>
      </w:r>
      <w:r>
        <w:rPr>
          <w:sz w:val="22"/>
          <w:u w:val="single"/>
        </w:rPr>
        <w:t>ProCaribe</w:t>
      </w:r>
      <w:r>
        <w:rPr>
          <w:sz w:val="22"/>
        </w:rPr>
        <w:t>:</w:t>
      </w:r>
    </w:p>
    <w:p>
      <w:pPr>
        <w:pStyle w:val="Normal"/>
        <w:ind w:firstLine="720" w:start="720" w:end="-540"/>
        <w:rPr/>
      </w:pPr>
      <w:r>
        <w:rPr>
          <w:sz w:val="22"/>
          <w:u w:val="single"/>
        </w:rPr>
        <w:t>Propane storage terminal (22,000 TS)U</w:t>
      </w:r>
      <w:r>
        <w:rPr>
          <w:sz w:val="22"/>
        </w:rPr>
        <w:t>.  No significant legal issues.</w:t>
      </w:r>
    </w:p>
    <w:p>
      <w:pPr>
        <w:pStyle w:val="Normal"/>
        <w:ind w:start="720" w:end="-540"/>
        <w:rPr>
          <w:sz w:val="22"/>
        </w:rPr>
      </w:pPr>
      <w:r>
        <w:rPr>
          <w:sz w:val="22"/>
        </w:rPr>
      </w:r>
    </w:p>
    <w:p>
      <w:pPr>
        <w:pStyle w:val="Normal"/>
        <w:ind w:firstLine="720" w:end="-540"/>
        <w:rPr>
          <w:sz w:val="22"/>
        </w:rPr>
      </w:pPr>
      <w:r>
        <w:rPr>
          <w:sz w:val="22"/>
        </w:rPr>
        <w:t>C.</w:t>
        <w:tab/>
        <w:t>Progasco:</w:t>
      </w:r>
    </w:p>
    <w:p>
      <w:pPr>
        <w:pStyle w:val="Normal"/>
        <w:ind w:firstLine="720" w:start="720" w:end="-540"/>
        <w:rPr>
          <w:sz w:val="22"/>
          <w:u w:val="single"/>
        </w:rPr>
      </w:pPr>
      <w:r>
        <w:rPr>
          <w:sz w:val="22"/>
          <w:u w:val="single"/>
        </w:rPr>
        <w:t>LPG distribution.</w:t>
      </w:r>
    </w:p>
    <w:p>
      <w:pPr>
        <w:pStyle w:val="Normal"/>
        <w:ind w:firstLine="720" w:end="-540"/>
        <w:rPr>
          <w:sz w:val="22"/>
          <w:u w:val="single"/>
        </w:rPr>
      </w:pPr>
      <w:r>
        <w:rPr>
          <w:sz w:val="22"/>
          <w:u w:val="single"/>
        </w:rPr>
      </w:r>
    </w:p>
    <w:p>
      <w:pPr>
        <w:pStyle w:val="Normal"/>
        <w:ind w:start="1440" w:end="0"/>
        <w:rPr/>
      </w:pPr>
      <w:r>
        <w:rPr>
          <w:sz w:val="22"/>
          <w:u w:val="single"/>
        </w:rPr>
        <w:t>Sale of business</w:t>
      </w:r>
      <w:r>
        <w:rPr>
          <w:sz w:val="22"/>
        </w:rPr>
        <w:t>.  (Buyer - Tropigas, a local competitor).  ($14.4MM+ 10% non-voting interest in Buyer’s new entity).  Closing of Purchase and Sale Agreement  expected on 5/21/01.</w:t>
      </w:r>
    </w:p>
    <w:p>
      <w:pPr>
        <w:pStyle w:val="Heading1"/>
        <w:ind w:hanging="0" w:start="0" w:end="-540"/>
        <w:rPr>
          <w:sz w:val="22"/>
        </w:rPr>
      </w:pPr>
      <w:r>
        <w:rPr>
          <w:sz w:val="22"/>
        </w:rPr>
      </w:r>
    </w:p>
    <w:p>
      <w:pPr>
        <w:pStyle w:val="Heading1"/>
        <w:numPr>
          <w:ilvl w:val="0"/>
          <w:numId w:val="7"/>
        </w:numPr>
        <w:ind w:hanging="720" w:start="720" w:end="-540"/>
        <w:rPr>
          <w:sz w:val="22"/>
        </w:rPr>
      </w:pPr>
      <w:r>
        <w:rPr>
          <w:b/>
          <w:sz w:val="22"/>
        </w:rPr>
        <w:t>Nicaragua</w:t>
      </w:r>
      <w:r>
        <w:rPr>
          <w:sz w:val="22"/>
        </w:rPr>
        <w:t xml:space="preserve"> (Francisco Pinto-Leite)</w:t>
      </w:r>
    </w:p>
    <w:p>
      <w:pPr>
        <w:pStyle w:val="Heading8"/>
        <w:ind w:end="-540"/>
        <w:rPr>
          <w:sz w:val="22"/>
        </w:rPr>
      </w:pPr>
      <w:r>
        <w:rPr>
          <w:sz w:val="22"/>
        </w:rPr>
        <w:t>Corinto 70MW Barge-mounted Plant</w:t>
      </w:r>
    </w:p>
    <w:p>
      <w:pPr>
        <w:pStyle w:val="Normal"/>
        <w:ind w:start="720" w:end="-540"/>
        <w:rPr>
          <w:sz w:val="22"/>
        </w:rPr>
      </w:pPr>
      <w:r>
        <w:rPr>
          <w:sz w:val="22"/>
        </w:rPr>
      </w:r>
    </w:p>
    <w:p>
      <w:pPr>
        <w:pStyle w:val="Normal"/>
        <w:ind w:start="720" w:end="-540"/>
        <w:rPr>
          <w:sz w:val="22"/>
        </w:rPr>
      </w:pPr>
      <w:r>
        <w:rPr>
          <w:sz w:val="22"/>
        </w:rPr>
        <w:t>No significant legal issues.</w:t>
      </w:r>
    </w:p>
    <w:p>
      <w:pPr>
        <w:pStyle w:val="Heading1"/>
        <w:ind w:hanging="0" w:start="0" w:end="-540"/>
        <w:rPr>
          <w:sz w:val="22"/>
        </w:rPr>
      </w:pPr>
      <w:r>
        <w:rPr>
          <w:sz w:val="22"/>
        </w:rPr>
      </w:r>
    </w:p>
    <w:p>
      <w:pPr>
        <w:pStyle w:val="Heading1"/>
        <w:ind w:hanging="0" w:start="0" w:end="-540"/>
        <w:rPr/>
      </w:pPr>
      <w:r>
        <w:rPr>
          <w:sz w:val="22"/>
        </w:rPr>
        <w:t>IX.</w:t>
        <w:tab/>
      </w:r>
      <w:r>
        <w:rPr>
          <w:b/>
          <w:sz w:val="22"/>
        </w:rPr>
        <w:t xml:space="preserve">Guatemala </w:t>
      </w:r>
      <w:r>
        <w:rPr>
          <w:sz w:val="22"/>
        </w:rPr>
        <w:t>(Francisco Pinto-Leite)</w:t>
      </w:r>
    </w:p>
    <w:p>
      <w:pPr>
        <w:pStyle w:val="Heading1"/>
        <w:ind w:firstLine="720" w:start="0" w:end="-540"/>
        <w:rPr>
          <w:sz w:val="22"/>
          <w:u w:val="single"/>
        </w:rPr>
      </w:pPr>
      <w:r>
        <w:rPr>
          <w:sz w:val="22"/>
          <w:u w:val="single"/>
        </w:rPr>
        <w:t>PQPLLC 234MW Barge-mounted Plant</w:t>
      </w:r>
    </w:p>
    <w:p>
      <w:pPr>
        <w:pStyle w:val="Normal"/>
        <w:ind w:end="-540"/>
        <w:jc w:val="center"/>
        <w:rPr>
          <w:sz w:val="22"/>
          <w:u w:val="single"/>
        </w:rPr>
      </w:pPr>
      <w:r>
        <w:rPr>
          <w:sz w:val="22"/>
          <w:u w:val="single"/>
        </w:rPr>
      </w:r>
    </w:p>
    <w:p>
      <w:pPr>
        <w:pStyle w:val="Normal"/>
        <w:ind w:start="720" w:end="-540"/>
        <w:rPr>
          <w:sz w:val="22"/>
        </w:rPr>
      </w:pPr>
      <w:r>
        <w:rPr>
          <w:sz w:val="22"/>
        </w:rPr>
        <w:t>Documentation is being drafted and discussions have been initiated to recover amounts deposited in Debt Service Reserve Account and to distribute same to Enron ($10MM). Preliminary Agreement reached with construction company (MAN) regarding reimbursement for direct damages and lost profits due to equipment failure (about $2.6MM).  Term Sheet signed with Caribbean Basin Power Fund for the sale of a Membership Interest in the LLC.  Enron will be selling approximately 7.5% for $7.5MM.  Closing expected in about one month.</w:t>
      </w:r>
    </w:p>
    <w:p>
      <w:pPr>
        <w:pStyle w:val="Normal"/>
        <w:ind w:start="720" w:end="-540"/>
        <w:rPr>
          <w:sz w:val="22"/>
        </w:rPr>
      </w:pPr>
      <w:r>
        <w:rPr>
          <w:sz w:val="22"/>
        </w:rPr>
        <w:t>The project is challenging Guatemala’s export restriction to El Salvador (El Salvador absorbs a significant portion of the merchant capacity).</w:t>
      </w:r>
    </w:p>
    <w:p>
      <w:pPr>
        <w:pStyle w:val="Normal"/>
        <w:ind w:start="720" w:end="-540"/>
        <w:rPr>
          <w:sz w:val="22"/>
        </w:rPr>
      </w:pPr>
      <w:r>
        <w:rPr>
          <w:sz w:val="22"/>
        </w:rPr>
      </w:r>
    </w:p>
    <w:p>
      <w:pPr>
        <w:pStyle w:val="Heading1"/>
        <w:keepLines/>
        <w:ind w:hanging="0" w:start="0" w:end="-540"/>
        <w:rPr/>
      </w:pPr>
      <w:r>
        <w:rPr>
          <w:sz w:val="22"/>
        </w:rPr>
        <w:t>X.</w:t>
        <w:tab/>
      </w:r>
      <w:r>
        <w:rPr>
          <w:b/>
          <w:sz w:val="22"/>
        </w:rPr>
        <w:t>Panama</w:t>
      </w:r>
      <w:r>
        <w:rPr>
          <w:sz w:val="22"/>
        </w:rPr>
        <w:t xml:space="preserve"> (Francisco Pinto-Leite)</w:t>
      </w:r>
    </w:p>
    <w:p>
      <w:pPr>
        <w:pStyle w:val="Normal"/>
        <w:keepNext w:val="true"/>
        <w:keepLines/>
        <w:ind w:firstLine="720" w:end="-540"/>
        <w:rPr>
          <w:sz w:val="22"/>
          <w:u w:val="single"/>
        </w:rPr>
      </w:pPr>
      <w:r>
        <w:rPr>
          <w:sz w:val="22"/>
          <w:u w:val="single"/>
        </w:rPr>
        <w:t>Combined cycle 330 MW power plant.</w:t>
      </w:r>
    </w:p>
    <w:p>
      <w:pPr>
        <w:pStyle w:val="Normal"/>
        <w:keepNext w:val="true"/>
        <w:keepLines/>
        <w:ind w:end="-540"/>
        <w:rPr>
          <w:sz w:val="22"/>
          <w:u w:val="single"/>
        </w:rPr>
      </w:pPr>
      <w:r>
        <w:rPr>
          <w:sz w:val="22"/>
          <w:u w:val="single"/>
        </w:rPr>
      </w:r>
    </w:p>
    <w:p>
      <w:pPr>
        <w:pStyle w:val="Normal"/>
        <w:keepNext w:val="true"/>
        <w:keepLines/>
        <w:ind w:start="720" w:end="-540"/>
        <w:rPr>
          <w:sz w:val="22"/>
        </w:rPr>
      </w:pPr>
      <w:r>
        <w:rPr>
          <w:sz w:val="22"/>
        </w:rPr>
        <w:t>The project has commenced legal action challenging resolutions by the regulator that directly impacted the PPA’s. An all-inclusive settlement is being negotiated with the government.  Parties are still apart on a number of issues.</w:t>
      </w:r>
    </w:p>
    <w:p>
      <w:pPr>
        <w:pStyle w:val="Normal"/>
        <w:ind w:start="720" w:end="-540"/>
        <w:rPr>
          <w:sz w:val="22"/>
        </w:rPr>
      </w:pPr>
      <w:r>
        <w:rPr>
          <w:sz w:val="22"/>
        </w:rPr>
      </w:r>
    </w:p>
    <w:p>
      <w:pPr>
        <w:pStyle w:val="Normal"/>
        <w:ind w:start="720" w:end="-540"/>
        <w:rPr>
          <w:sz w:val="22"/>
        </w:rPr>
      </w:pPr>
      <w:r>
        <w:rPr>
          <w:sz w:val="22"/>
        </w:rPr>
        <w:t xml:space="preserve">Three (3) insurance claims related to damages to Unit #6 from lightning on December 31, 2000 have been filed.  Dispute with insurance broker is possible. </w:t>
      </w:r>
    </w:p>
    <w:p>
      <w:pPr>
        <w:pStyle w:val="Normal"/>
        <w:ind w:start="360" w:end="-540"/>
        <w:rPr>
          <w:sz w:val="22"/>
        </w:rPr>
      </w:pPr>
      <w:r>
        <w:rPr>
          <w:sz w:val="22"/>
        </w:rPr>
      </w:r>
    </w:p>
    <w:p>
      <w:pPr>
        <w:pStyle w:val="Heading5"/>
        <w:ind w:hanging="0" w:start="0" w:end="-540"/>
        <w:rPr/>
      </w:pPr>
      <w:r>
        <w:rPr>
          <w:rFonts w:cs="Times New Roman" w:ascii="Times New Roman" w:hAnsi="Times New Roman"/>
          <w:b w:val="false"/>
          <w:sz w:val="22"/>
        </w:rPr>
        <w:t>XI.</w:t>
      </w:r>
      <w:r>
        <w:rPr>
          <w:rFonts w:cs="Times New Roman" w:ascii="Times New Roman" w:hAnsi="Times New Roman"/>
          <w:sz w:val="22"/>
        </w:rPr>
        <w:tab/>
        <w:t>Venezuela</w:t>
      </w:r>
      <w:r>
        <w:rPr>
          <w:rFonts w:cs="Times New Roman" w:ascii="Times New Roman" w:hAnsi="Times New Roman"/>
          <w:b w:val="false"/>
          <w:sz w:val="22"/>
        </w:rPr>
        <w:t xml:space="preserve"> (Miguel Mendoza)</w:t>
      </w:r>
    </w:p>
    <w:p>
      <w:pPr>
        <w:pStyle w:val="Normal"/>
        <w:tabs>
          <w:tab w:val="clear" w:pos="720"/>
          <w:tab w:val="left" w:pos="360" w:leader="none"/>
        </w:tabs>
        <w:ind w:end="-540"/>
        <w:rPr>
          <w:sz w:val="22"/>
        </w:rPr>
      </w:pPr>
      <w:r>
        <w:rPr>
          <w:sz w:val="22"/>
        </w:rPr>
        <w:tab/>
        <w:tab/>
        <w:t>A.</w:t>
        <w:tab/>
      </w:r>
      <w:r>
        <w:rPr>
          <w:sz w:val="22"/>
          <w:u w:val="single"/>
        </w:rPr>
        <w:t>Accro</w:t>
      </w:r>
    </w:p>
    <w:p>
      <w:pPr>
        <w:pStyle w:val="Normal"/>
        <w:ind w:end="-540"/>
        <w:rPr>
          <w:sz w:val="22"/>
        </w:rPr>
      </w:pPr>
      <w:r>
        <w:rPr>
          <w:sz w:val="22"/>
        </w:rPr>
      </w:r>
    </w:p>
    <w:p>
      <w:pPr>
        <w:pStyle w:val="Normal"/>
        <w:ind w:end="-540"/>
        <w:rPr>
          <w:sz w:val="22"/>
        </w:rPr>
      </w:pPr>
      <w:r>
        <w:rPr>
          <w:sz w:val="22"/>
        </w:rPr>
        <w:tab/>
        <w:tab/>
        <w:t>No updates on this project.</w:t>
      </w:r>
    </w:p>
    <w:p>
      <w:pPr>
        <w:pStyle w:val="Normal"/>
        <w:ind w:end="-540"/>
        <w:rPr>
          <w:sz w:val="22"/>
        </w:rPr>
      </w:pPr>
      <w:r>
        <w:rPr>
          <w:sz w:val="22"/>
        </w:rPr>
      </w:r>
    </w:p>
    <w:p>
      <w:pPr>
        <w:pStyle w:val="Normal"/>
        <w:numPr>
          <w:ilvl w:val="0"/>
          <w:numId w:val="8"/>
        </w:numPr>
        <w:ind w:hanging="720" w:start="1440" w:end="-540"/>
        <w:rPr>
          <w:sz w:val="22"/>
        </w:rPr>
      </w:pPr>
      <w:r>
        <w:rPr>
          <w:sz w:val="22"/>
          <w:u w:val="single"/>
        </w:rPr>
        <w:t>Bachaquero</w:t>
      </w:r>
    </w:p>
    <w:p>
      <w:pPr>
        <w:pStyle w:val="Normal"/>
        <w:ind w:start="1440" w:end="-540"/>
        <w:rPr>
          <w:sz w:val="22"/>
        </w:rPr>
      </w:pPr>
      <w:r>
        <w:rPr>
          <w:sz w:val="22"/>
          <w:u w:val="single"/>
        </w:rPr>
        <w:t>Gas Compression Project in Lake Maracaibo</w:t>
      </w:r>
    </w:p>
    <w:p>
      <w:pPr>
        <w:pStyle w:val="Normal"/>
        <w:ind w:end="-540"/>
        <w:rPr>
          <w:sz w:val="22"/>
        </w:rPr>
      </w:pPr>
      <w:r>
        <w:rPr>
          <w:sz w:val="22"/>
        </w:rPr>
      </w:r>
    </w:p>
    <w:p>
      <w:pPr>
        <w:pStyle w:val="BlockText"/>
        <w:rPr/>
      </w:pPr>
      <w:r>
        <w:rPr/>
        <w:t>Sent final version of SPA to Hanover. Hanover agreed to a gross up to cover any additional tax consequences that may be generated for Enron. Sale expected to close before end of second quarter.</w:t>
      </w:r>
    </w:p>
    <w:p>
      <w:pPr>
        <w:pStyle w:val="BlockText"/>
        <w:rPr/>
      </w:pPr>
      <w:r>
        <w:rPr/>
      </w:r>
    </w:p>
    <w:p>
      <w:pPr>
        <w:pStyle w:val="Normal"/>
        <w:numPr>
          <w:ilvl w:val="0"/>
          <w:numId w:val="8"/>
        </w:numPr>
        <w:ind w:hanging="720" w:start="1440" w:end="-540"/>
        <w:rPr>
          <w:sz w:val="22"/>
        </w:rPr>
      </w:pPr>
      <w:r>
        <w:rPr>
          <w:sz w:val="22"/>
          <w:u w:val="single"/>
        </w:rPr>
        <w:t>Calife</w:t>
      </w:r>
    </w:p>
    <w:p>
      <w:pPr>
        <w:pStyle w:val="Normal"/>
        <w:ind w:start="1440" w:end="-540"/>
        <w:rPr>
          <w:sz w:val="22"/>
        </w:rPr>
      </w:pPr>
      <w:r>
        <w:rPr>
          <w:sz w:val="22"/>
          <w:u w:val="single"/>
        </w:rPr>
        <w:t>Electric distribution in Central Venezuela (Carabobo State)</w:t>
      </w:r>
    </w:p>
    <w:p>
      <w:pPr>
        <w:pStyle w:val="Normal"/>
        <w:ind w:end="-540"/>
        <w:rPr>
          <w:sz w:val="22"/>
        </w:rPr>
      </w:pPr>
      <w:r>
        <w:rPr>
          <w:sz w:val="22"/>
        </w:rPr>
      </w:r>
    </w:p>
    <w:p>
      <w:pPr>
        <w:pStyle w:val="BlockText"/>
        <w:rPr/>
      </w:pPr>
      <w:r>
        <w:rPr/>
        <w:t>Sent revised version of lease agreement to Cadafe (governmental utility). Under new version Calife will operate and maintain the 2 substations.</w:t>
      </w:r>
    </w:p>
    <w:p>
      <w:pPr>
        <w:pStyle w:val="Normal"/>
        <w:ind w:start="1440" w:end="-540"/>
        <w:rPr>
          <w:sz w:val="22"/>
        </w:rPr>
      </w:pPr>
      <w:r>
        <w:rPr>
          <w:sz w:val="22"/>
        </w:rPr>
      </w:r>
    </w:p>
    <w:p>
      <w:pPr>
        <w:pStyle w:val="Normal"/>
        <w:ind w:start="720" w:end="-540"/>
        <w:rPr/>
      </w:pPr>
      <w:r>
        <w:rPr>
          <w:sz w:val="22"/>
        </w:rPr>
        <w:t>D.</w:t>
        <w:tab/>
      </w:r>
      <w:r>
        <w:rPr>
          <w:sz w:val="22"/>
          <w:u w:val="single"/>
        </w:rPr>
        <w:t>Vengas</w:t>
      </w:r>
    </w:p>
    <w:p>
      <w:pPr>
        <w:pStyle w:val="Normal"/>
        <w:ind w:start="1440" w:end="-540"/>
        <w:rPr>
          <w:sz w:val="22"/>
          <w:u w:val="single"/>
        </w:rPr>
      </w:pPr>
      <w:r>
        <w:rPr>
          <w:sz w:val="22"/>
          <w:u w:val="single"/>
        </w:rPr>
        <w:t>LPG Distribution</w:t>
      </w:r>
    </w:p>
    <w:p>
      <w:pPr>
        <w:pStyle w:val="Normal"/>
        <w:ind w:start="1440" w:end="-540"/>
        <w:rPr>
          <w:sz w:val="22"/>
          <w:u w:val="single"/>
        </w:rPr>
      </w:pPr>
      <w:r>
        <w:rPr>
          <w:sz w:val="22"/>
          <w:u w:val="single"/>
        </w:rPr>
      </w:r>
    </w:p>
    <w:p>
      <w:pPr>
        <w:pStyle w:val="Normal"/>
        <w:autoSpaceDE w:val="false"/>
        <w:spacing w:lineRule="atLeast" w:line="240"/>
        <w:ind w:start="1440" w:end="0"/>
        <w:rPr>
          <w:color w:val="000000"/>
          <w:sz w:val="22"/>
        </w:rPr>
      </w:pPr>
      <w:r>
        <w:rPr>
          <w:color w:val="000000"/>
          <w:sz w:val="22"/>
        </w:rPr>
        <w:t>Signed service agreement with EBS for consulting services regarding fiber optic project in Venezuela. Vengas and PDVSA (Venezuelan oil and gas company) will develop a project whereby the joint venture will lay a fiber optic network using PDVSA's ROW</w:t>
      </w:r>
    </w:p>
    <w:p>
      <w:pPr>
        <w:pStyle w:val="Normal"/>
        <w:autoSpaceDE w:val="false"/>
        <w:spacing w:lineRule="atLeast" w:line="240"/>
        <w:rPr>
          <w:color w:val="000000"/>
          <w:sz w:val="22"/>
        </w:rPr>
      </w:pPr>
      <w:r>
        <w:rPr>
          <w:color w:val="000000"/>
          <w:sz w:val="22"/>
        </w:rPr>
      </w:r>
    </w:p>
    <w:p>
      <w:pPr>
        <w:pStyle w:val="Normal"/>
        <w:ind w:start="1440" w:end="-540"/>
        <w:rPr>
          <w:sz w:val="22"/>
        </w:rPr>
      </w:pPr>
      <w:r>
        <w:rPr>
          <w:color w:val="000000"/>
          <w:sz w:val="22"/>
        </w:rPr>
        <w:t>Signed MOU for the acquisition of Luferca (small LPG operation in Central Venezuela) for approximately US$3MM. Vengas completing due diligence. Closing date expected for second week of June</w:t>
      </w:r>
    </w:p>
    <w:p>
      <w:pPr>
        <w:pStyle w:val="Normal"/>
        <w:ind w:end="-540"/>
        <w:rPr>
          <w:sz w:val="22"/>
        </w:rPr>
      </w:pPr>
      <w:r>
        <w:rPr>
          <w:sz w:val="22"/>
        </w:rPr>
      </w:r>
    </w:p>
    <w:p>
      <w:pPr>
        <w:pStyle w:val="Normal"/>
        <w:ind w:end="-540"/>
        <w:rPr/>
      </w:pPr>
      <w:r>
        <w:rPr>
          <w:sz w:val="22"/>
        </w:rPr>
        <w:t>XII.</w:t>
        <w:tab/>
      </w:r>
      <w:r>
        <w:rPr>
          <w:sz w:val="22"/>
          <w:u w:val="single"/>
        </w:rPr>
        <w:t>Bolivia</w:t>
      </w:r>
      <w:r>
        <w:rPr>
          <w:sz w:val="22"/>
        </w:rPr>
        <w:t xml:space="preserve"> (Miguel Mendoza)</w:t>
      </w:r>
    </w:p>
    <w:p>
      <w:pPr>
        <w:pStyle w:val="Normal"/>
        <w:ind w:end="-540"/>
        <w:rPr>
          <w:sz w:val="22"/>
        </w:rPr>
      </w:pPr>
      <w:r>
        <w:rPr>
          <w:sz w:val="22"/>
        </w:rPr>
        <w:tab/>
      </w:r>
      <w:r>
        <w:rPr>
          <w:sz w:val="22"/>
          <w:u w:val="single"/>
        </w:rPr>
        <w:t>Transredes</w:t>
      </w:r>
    </w:p>
    <w:p>
      <w:pPr>
        <w:pStyle w:val="Normal"/>
        <w:ind w:end="-540"/>
        <w:rPr>
          <w:sz w:val="22"/>
        </w:rPr>
      </w:pPr>
      <w:r>
        <w:rPr>
          <w:sz w:val="22"/>
        </w:rPr>
      </w:r>
    </w:p>
    <w:p>
      <w:pPr>
        <w:pStyle w:val="Normal"/>
        <w:autoSpaceDE w:val="false"/>
        <w:spacing w:lineRule="atLeast" w:line="240"/>
        <w:ind w:start="720" w:end="0"/>
        <w:rPr>
          <w:color w:val="000000"/>
          <w:sz w:val="22"/>
        </w:rPr>
      </w:pPr>
      <w:r>
        <w:rPr>
          <w:color w:val="000000"/>
          <w:sz w:val="22"/>
        </w:rPr>
        <w:t xml:space="preserve">Signed MOU with Petrobras. PB started due diligence in Santa Cruz on 05/07. PB has 4 weeks to conclude due diligence and confirm initial price US$146 MM. </w:t>
      </w:r>
    </w:p>
    <w:p>
      <w:pPr>
        <w:pStyle w:val="Normal"/>
        <w:autoSpaceDE w:val="false"/>
        <w:spacing w:lineRule="atLeast" w:line="240"/>
        <w:ind w:start="720" w:end="0"/>
        <w:rPr>
          <w:color w:val="000000"/>
          <w:sz w:val="22"/>
        </w:rPr>
      </w:pPr>
      <w:r>
        <w:rPr>
          <w:color w:val="000000"/>
          <w:sz w:val="22"/>
        </w:rPr>
      </w:r>
    </w:p>
    <w:p>
      <w:pPr>
        <w:pStyle w:val="Normal"/>
        <w:autoSpaceDE w:val="false"/>
        <w:spacing w:lineRule="atLeast" w:line="240"/>
        <w:ind w:firstLine="720" w:end="0"/>
        <w:rPr>
          <w:color w:val="000000"/>
          <w:sz w:val="22"/>
        </w:rPr>
      </w:pPr>
      <w:r>
        <w:rPr>
          <w:color w:val="000000"/>
          <w:sz w:val="22"/>
        </w:rPr>
        <w:t xml:space="preserve">Working with V&amp;E in final sale structure. </w:t>
      </w:r>
    </w:p>
    <w:p>
      <w:pPr>
        <w:pStyle w:val="Normal"/>
        <w:ind w:start="720" w:end="-540"/>
        <w:rPr>
          <w:color w:val="000000"/>
          <w:sz w:val="22"/>
        </w:rPr>
      </w:pPr>
      <w:r>
        <w:rPr>
          <w:color w:val="000000"/>
          <w:sz w:val="22"/>
        </w:rPr>
      </w:r>
    </w:p>
    <w:p>
      <w:pPr>
        <w:pStyle w:val="Normal"/>
        <w:ind w:start="720" w:end="-540"/>
        <w:rPr>
          <w:color w:val="000000"/>
          <w:sz w:val="22"/>
        </w:rPr>
      </w:pPr>
      <w:r>
        <w:rPr>
          <w:color w:val="000000"/>
          <w:sz w:val="22"/>
        </w:rPr>
        <w:t>Working with Transredes and GTB to finalize and execute transportation agreements to secure additional gas capacity for Cuiaba II.</w:t>
      </w:r>
    </w:p>
    <w:p>
      <w:pPr>
        <w:pStyle w:val="Normal"/>
        <w:ind w:start="720" w:end="-540"/>
        <w:rPr>
          <w:color w:val="000000"/>
          <w:sz w:val="22"/>
        </w:rPr>
      </w:pPr>
      <w:r>
        <w:rPr>
          <w:color w:val="000000"/>
          <w:sz w:val="22"/>
        </w:rPr>
      </w:r>
    </w:p>
    <w:p>
      <w:pPr>
        <w:pStyle w:val="Normal"/>
        <w:rPr/>
      </w:pPr>
      <w:r>
        <w:rPr>
          <w:sz w:val="22"/>
        </w:rPr>
        <w:t>XIII.</w:t>
        <w:tab/>
      </w:r>
      <w:r>
        <w:rPr>
          <w:b/>
          <w:bCs/>
          <w:sz w:val="22"/>
        </w:rPr>
        <w:t>Argentina</w:t>
      </w:r>
      <w:r>
        <w:rPr>
          <w:sz w:val="22"/>
        </w:rPr>
        <w:t xml:space="preserve"> (Miguel Mendoza)</w:t>
      </w:r>
    </w:p>
    <w:p>
      <w:pPr>
        <w:pStyle w:val="Normal"/>
        <w:rPr>
          <w:sz w:val="22"/>
        </w:rPr>
      </w:pPr>
      <w:r>
        <w:rPr>
          <w:sz w:val="22"/>
        </w:rPr>
        <w:tab/>
      </w:r>
      <w:r>
        <w:rPr>
          <w:sz w:val="22"/>
          <w:u w:val="single"/>
        </w:rPr>
        <w:t>TGS</w:t>
      </w:r>
    </w:p>
    <w:p>
      <w:pPr>
        <w:pStyle w:val="Normal"/>
        <w:rPr>
          <w:sz w:val="22"/>
        </w:rPr>
      </w:pPr>
      <w:r>
        <w:rPr>
          <w:sz w:val="22"/>
        </w:rPr>
      </w:r>
    </w:p>
    <w:p>
      <w:pPr>
        <w:pStyle w:val="Normal"/>
        <w:autoSpaceDE w:val="false"/>
        <w:spacing w:lineRule="atLeast" w:line="240"/>
        <w:ind w:start="720" w:end="0"/>
        <w:rPr>
          <w:color w:val="000000"/>
          <w:sz w:val="22"/>
        </w:rPr>
      </w:pPr>
      <w:r>
        <w:rPr>
          <w:color w:val="000000"/>
          <w:sz w:val="22"/>
        </w:rPr>
        <w:t xml:space="preserve">Regulatory agency (Enargas) has informed this week that it will approve appointment of CIESA as the new operator of TGS if Enron provides guaranty. Legal and commercial team reviewing guaranty proposal and whether we should continue the process.  </w:t>
      </w:r>
    </w:p>
    <w:p>
      <w:pPr>
        <w:pStyle w:val="Normal"/>
        <w:autoSpaceDE w:val="false"/>
        <w:spacing w:lineRule="atLeast" w:line="240"/>
        <w:ind w:start="720" w:end="0"/>
        <w:rPr>
          <w:color w:val="000000"/>
          <w:sz w:val="22"/>
        </w:rPr>
      </w:pPr>
      <w:r>
        <w:rPr>
          <w:color w:val="000000"/>
          <w:sz w:val="22"/>
        </w:rPr>
      </w:r>
    </w:p>
    <w:p>
      <w:pPr>
        <w:pStyle w:val="Normal"/>
        <w:autoSpaceDE w:val="false"/>
        <w:spacing w:lineRule="atLeast" w:line="240"/>
        <w:ind w:start="720" w:end="0"/>
        <w:rPr>
          <w:color w:val="000000"/>
          <w:sz w:val="22"/>
        </w:rPr>
      </w:pPr>
      <w:r>
        <w:rPr>
          <w:color w:val="000000"/>
          <w:sz w:val="22"/>
        </w:rPr>
        <w:t>CIESA is the 50/50 joint venture between Perez Companc and Enron. Ciesa owns approximately 70% of TGS.</w:t>
      </w:r>
    </w:p>
    <w:p>
      <w:pPr>
        <w:pStyle w:val="Normal"/>
        <w:autoSpaceDE w:val="false"/>
        <w:spacing w:lineRule="atLeast" w:line="240"/>
        <w:ind w:start="720" w:end="0"/>
        <w:rPr>
          <w:color w:val="000000"/>
          <w:sz w:val="22"/>
        </w:rPr>
      </w:pPr>
      <w:r>
        <w:rPr>
          <w:color w:val="000000"/>
          <w:sz w:val="22"/>
        </w:rPr>
      </w:r>
    </w:p>
    <w:p>
      <w:pPr>
        <w:pStyle w:val="Normal"/>
        <w:ind w:start="720" w:end="0"/>
        <w:rPr>
          <w:sz w:val="22"/>
        </w:rPr>
      </w:pPr>
      <w:r>
        <w:rPr>
          <w:color w:val="000000"/>
          <w:sz w:val="22"/>
        </w:rPr>
        <w:t>Appointment CIESA as new operator will allow the project to offset up to US$10MM per year in tax losses against income generated as management fee.</w:t>
      </w:r>
    </w:p>
    <w:p>
      <w:pPr>
        <w:pStyle w:val="Normal"/>
        <w:ind w:end="-540"/>
        <w:rPr>
          <w:sz w:val="22"/>
        </w:rPr>
      </w:pPr>
      <w:r>
        <w:rPr>
          <w:sz w:val="22"/>
        </w:rPr>
      </w:r>
      <w:r>
        <w:br w:type="page"/>
      </w:r>
    </w:p>
    <w:p>
      <w:pPr>
        <w:pStyle w:val="Normal"/>
        <w:ind w:end="-540"/>
        <w:rPr/>
      </w:pPr>
      <w:r>
        <w:rPr>
          <w:sz w:val="22"/>
        </w:rPr>
        <w:t>XIV.</w:t>
        <w:tab/>
      </w:r>
      <w:r>
        <w:rPr>
          <w:b/>
          <w:sz w:val="22"/>
        </w:rPr>
        <w:t>Colombia</w:t>
      </w:r>
      <w:r>
        <w:rPr>
          <w:sz w:val="22"/>
        </w:rPr>
        <w:t xml:space="preserve"> (Francisco Pinto Leite)</w:t>
      </w:r>
    </w:p>
    <w:p>
      <w:pPr>
        <w:pStyle w:val="Heading8"/>
        <w:ind w:end="-540"/>
        <w:rPr>
          <w:sz w:val="22"/>
        </w:rPr>
      </w:pPr>
      <w:r>
        <w:rPr>
          <w:sz w:val="22"/>
        </w:rPr>
        <w:t>Centragas</w:t>
      </w:r>
    </w:p>
    <w:p>
      <w:pPr>
        <w:pStyle w:val="Normal"/>
        <w:ind w:end="-540"/>
        <w:rPr>
          <w:sz w:val="22"/>
        </w:rPr>
      </w:pPr>
      <w:r>
        <w:rPr>
          <w:sz w:val="22"/>
        </w:rPr>
      </w:r>
    </w:p>
    <w:p>
      <w:pPr>
        <w:pStyle w:val="Normal"/>
        <w:numPr>
          <w:ilvl w:val="0"/>
          <w:numId w:val="2"/>
        </w:numPr>
        <w:ind w:hanging="720" w:start="1440" w:end="-540"/>
        <w:rPr>
          <w:sz w:val="22"/>
        </w:rPr>
      </w:pPr>
      <w:r>
        <w:rPr>
          <w:sz w:val="22"/>
          <w:u w:val="single"/>
        </w:rPr>
        <w:t>Tax Litigation</w:t>
      </w:r>
    </w:p>
    <w:p>
      <w:pPr>
        <w:pStyle w:val="Normal"/>
        <w:ind w:end="-540"/>
        <w:rPr>
          <w:sz w:val="22"/>
        </w:rPr>
      </w:pPr>
      <w:r>
        <w:rPr>
          <w:sz w:val="22"/>
        </w:rPr>
      </w:r>
    </w:p>
    <w:p>
      <w:pPr>
        <w:pStyle w:val="Normal"/>
        <w:ind w:start="1440" w:end="-540"/>
        <w:rPr>
          <w:sz w:val="22"/>
        </w:rPr>
      </w:pPr>
      <w:r>
        <w:rPr>
          <w:sz w:val="22"/>
        </w:rPr>
        <w:t xml:space="preserve">Tax claim was settled with tax authorities (DIAN) for about US$300,000 </w:t>
      </w:r>
    </w:p>
    <w:p>
      <w:pPr>
        <w:pStyle w:val="Normal"/>
        <w:ind w:end="-540"/>
        <w:rPr>
          <w:sz w:val="22"/>
        </w:rPr>
      </w:pPr>
      <w:r>
        <w:rPr>
          <w:sz w:val="22"/>
        </w:rPr>
      </w:r>
    </w:p>
    <w:p>
      <w:pPr>
        <w:pStyle w:val="Normal"/>
        <w:numPr>
          <w:ilvl w:val="0"/>
          <w:numId w:val="2"/>
        </w:numPr>
        <w:ind w:hanging="720" w:start="1440" w:end="-540"/>
        <w:rPr>
          <w:sz w:val="22"/>
        </w:rPr>
      </w:pPr>
      <w:r>
        <w:rPr>
          <w:sz w:val="22"/>
          <w:u w:val="single"/>
        </w:rPr>
        <w:t>Potential sell down of Enron’s equity interest in Centragas</w:t>
      </w:r>
    </w:p>
    <w:p>
      <w:pPr>
        <w:pStyle w:val="Normal"/>
        <w:ind w:end="-540"/>
        <w:rPr>
          <w:sz w:val="22"/>
        </w:rPr>
      </w:pPr>
      <w:r>
        <w:rPr>
          <w:sz w:val="22"/>
        </w:rPr>
      </w:r>
    </w:p>
    <w:p>
      <w:pPr>
        <w:pStyle w:val="Normal"/>
        <w:ind w:start="1440" w:end="-540"/>
        <w:rPr>
          <w:sz w:val="22"/>
        </w:rPr>
      </w:pPr>
      <w:r>
        <w:rPr>
          <w:sz w:val="22"/>
        </w:rPr>
        <w:t>A Confidentiality Agreement was signed with Corfivalle (Colombian investment bank).  We are preparing for Corfivalle initial due diligence.</w:t>
      </w:r>
    </w:p>
    <w:p>
      <w:pPr>
        <w:pStyle w:val="Normal"/>
        <w:ind w:start="1440" w:end="-540"/>
        <w:rPr>
          <w:sz w:val="22"/>
        </w:rPr>
      </w:pPr>
      <w:r>
        <w:rPr>
          <w:sz w:val="22"/>
        </w:rPr>
      </w:r>
    </w:p>
    <w:p>
      <w:pPr>
        <w:pStyle w:val="Normal"/>
        <w:numPr>
          <w:ilvl w:val="0"/>
          <w:numId w:val="2"/>
        </w:numPr>
        <w:ind w:hanging="720" w:start="1440" w:end="-540"/>
        <w:rPr>
          <w:sz w:val="22"/>
        </w:rPr>
      </w:pPr>
      <w:r>
        <w:rPr>
          <w:sz w:val="22"/>
          <w:u w:val="single"/>
        </w:rPr>
        <w:t>Negotiation of Agreement for Tariff Adjustment with Ecogas</w:t>
      </w:r>
    </w:p>
    <w:p>
      <w:pPr>
        <w:pStyle w:val="Normal"/>
        <w:ind w:end="-540"/>
        <w:rPr>
          <w:sz w:val="22"/>
        </w:rPr>
      </w:pPr>
      <w:r>
        <w:rPr>
          <w:sz w:val="22"/>
        </w:rPr>
      </w:r>
    </w:p>
    <w:p>
      <w:pPr>
        <w:pStyle w:val="Normal"/>
        <w:ind w:start="1440" w:end="-540"/>
        <w:rPr>
          <w:sz w:val="22"/>
        </w:rPr>
      </w:pPr>
      <w:r>
        <w:rPr>
          <w:sz w:val="22"/>
        </w:rPr>
        <w:t>Negotiations with Ecogas for the reimbursements  of certain increased amounts resulting from a change in tax law have not been successful.  Centragas may file for arbitration soon.</w:t>
      </w:r>
    </w:p>
    <w:p>
      <w:pPr>
        <w:pStyle w:val="Normal"/>
        <w:ind w:end="-540"/>
        <w:rPr>
          <w:sz w:val="22"/>
        </w:rPr>
      </w:pPr>
      <w:r>
        <w:rPr>
          <w:sz w:val="22"/>
        </w:rPr>
      </w:r>
    </w:p>
    <w:p>
      <w:pPr>
        <w:pStyle w:val="Normal"/>
        <w:ind w:end="-540"/>
        <w:rPr/>
      </w:pPr>
      <w:r>
        <w:rPr>
          <w:sz w:val="22"/>
        </w:rPr>
        <w:t>XV.</w:t>
        <w:tab/>
      </w:r>
      <w:r>
        <w:rPr>
          <w:b/>
          <w:sz w:val="22"/>
        </w:rPr>
        <w:t>Philippines</w:t>
      </w:r>
      <w:r>
        <w:rPr>
          <w:sz w:val="22"/>
        </w:rPr>
        <w:t xml:space="preserve"> (Angel Esguerra)</w:t>
      </w:r>
    </w:p>
    <w:p>
      <w:pPr>
        <w:pStyle w:val="Heading9"/>
        <w:numPr>
          <w:ilvl w:val="0"/>
          <w:numId w:val="5"/>
        </w:numPr>
        <w:spacing w:lineRule="auto" w:line="240"/>
        <w:ind w:hanging="720" w:start="1440" w:end="-540"/>
        <w:rPr>
          <w:color w:val="000000"/>
          <w:sz w:val="22"/>
        </w:rPr>
      </w:pPr>
      <w:r>
        <w:rPr>
          <w:color w:val="000000"/>
          <w:sz w:val="22"/>
        </w:rPr>
        <w:t>Bulacan Biomass Power Project</w:t>
      </w:r>
    </w:p>
    <w:p>
      <w:pPr>
        <w:pStyle w:val="Header"/>
        <w:tabs>
          <w:tab w:val="clear" w:pos="4320"/>
          <w:tab w:val="clear" w:pos="8640"/>
        </w:tabs>
        <w:ind w:end="-540"/>
        <w:rPr>
          <w:color w:val="000000"/>
          <w:sz w:val="22"/>
        </w:rPr>
      </w:pPr>
      <w:r>
        <w:rPr>
          <w:color w:val="000000"/>
          <w:sz w:val="22"/>
        </w:rPr>
      </w:r>
    </w:p>
    <w:p>
      <w:pPr>
        <w:pStyle w:val="BlockText"/>
        <w:rPr/>
      </w:pPr>
      <w:r>
        <w:rPr/>
        <w:t>As Enron internal approvals were not issued, team members continue to search for a third-party who will replace Enron as lead developer, and who is acceptable to Enron’s partners, lenders and off-taker. However, Cypress Energy, the co-developer, has formally issued to Enron a demand letter threatening litigation. We are evaluating Cypress’ letter to determine their causes of action.</w:t>
      </w:r>
    </w:p>
    <w:p>
      <w:pPr>
        <w:pStyle w:val="Normal"/>
        <w:ind w:start="720" w:end="-540"/>
        <w:rPr>
          <w:sz w:val="22"/>
          <w:u w:val="single"/>
        </w:rPr>
      </w:pPr>
      <w:r>
        <w:rPr>
          <w:sz w:val="22"/>
          <w:u w:val="single"/>
        </w:rPr>
      </w:r>
    </w:p>
    <w:p>
      <w:pPr>
        <w:pStyle w:val="Normal"/>
        <w:numPr>
          <w:ilvl w:val="0"/>
          <w:numId w:val="5"/>
        </w:numPr>
        <w:ind w:hanging="720" w:start="1440" w:end="-540"/>
        <w:rPr>
          <w:sz w:val="22"/>
          <w:u w:val="single"/>
        </w:rPr>
      </w:pPr>
      <w:r>
        <w:rPr>
          <w:sz w:val="22"/>
          <w:u w:val="single"/>
        </w:rPr>
        <w:t>Batangas Power Plant</w:t>
      </w:r>
    </w:p>
    <w:p>
      <w:pPr>
        <w:pStyle w:val="Normal"/>
        <w:ind w:end="-540"/>
        <w:rPr>
          <w:sz w:val="22"/>
          <w:u w:val="single"/>
        </w:rPr>
      </w:pPr>
      <w:r>
        <w:rPr>
          <w:sz w:val="22"/>
          <w:u w:val="single"/>
        </w:rPr>
      </w:r>
    </w:p>
    <w:p>
      <w:pPr>
        <w:pStyle w:val="BodyText2"/>
        <w:spacing w:before="0" w:after="0"/>
        <w:ind w:start="1440" w:end="-540"/>
        <w:rPr>
          <w:color w:val="000000"/>
          <w:sz w:val="22"/>
        </w:rPr>
      </w:pPr>
      <w:r>
        <w:rPr>
          <w:color w:val="000000"/>
          <w:sz w:val="22"/>
        </w:rPr>
        <w:t xml:space="preserve">The Philippine Bureau of Internal Revenue has issued a letter that raised certain issues as regards the first income tax return filed by Batangas after its 6-year tax holiday. </w:t>
      </w:r>
    </w:p>
    <w:p>
      <w:pPr>
        <w:pStyle w:val="BodyText2"/>
        <w:spacing w:before="0" w:after="0"/>
        <w:ind w:start="1440" w:end="-540"/>
        <w:rPr>
          <w:color w:val="000000"/>
          <w:sz w:val="22"/>
        </w:rPr>
      </w:pPr>
      <w:r>
        <w:rPr>
          <w:color w:val="000000"/>
          <w:sz w:val="22"/>
        </w:rPr>
      </w:r>
    </w:p>
    <w:p>
      <w:pPr>
        <w:pStyle w:val="Normal"/>
        <w:numPr>
          <w:ilvl w:val="0"/>
          <w:numId w:val="5"/>
        </w:numPr>
        <w:ind w:hanging="720" w:start="1440" w:end="-540"/>
        <w:rPr>
          <w:sz w:val="22"/>
          <w:u w:val="single"/>
        </w:rPr>
      </w:pPr>
      <w:r>
        <w:rPr>
          <w:sz w:val="22"/>
          <w:u w:val="single"/>
        </w:rPr>
        <w:t>Subic Power Plant</w:t>
      </w:r>
    </w:p>
    <w:p>
      <w:pPr>
        <w:pStyle w:val="Normal"/>
        <w:ind w:start="1440" w:end="-540"/>
        <w:rPr>
          <w:sz w:val="22"/>
          <w:u w:val="single"/>
        </w:rPr>
      </w:pPr>
      <w:r>
        <w:rPr>
          <w:sz w:val="22"/>
          <w:u w:val="single"/>
        </w:rPr>
      </w:r>
    </w:p>
    <w:p>
      <w:pPr>
        <w:pStyle w:val="BodyText2"/>
        <w:spacing w:before="0" w:after="0"/>
        <w:ind w:start="1440" w:end="-540"/>
        <w:rPr>
          <w:color w:val="000000"/>
          <w:sz w:val="22"/>
        </w:rPr>
      </w:pPr>
      <w:r>
        <w:rPr>
          <w:color w:val="000000"/>
          <w:sz w:val="22"/>
        </w:rPr>
        <w:t xml:space="preserve">External tax litigation counsel continue to present evidence (including testimony of internal counsel and numerous documents) in cases filed with the Philippine Court of Tax Appeals to contest tax assessments by the Philippine Bureau of Internal Revenue. </w:t>
      </w:r>
    </w:p>
    <w:p>
      <w:pPr>
        <w:pStyle w:val="BodyText2"/>
        <w:spacing w:before="0" w:after="0"/>
        <w:ind w:start="1440" w:end="-540"/>
        <w:rPr>
          <w:color w:val="000000"/>
          <w:sz w:val="22"/>
        </w:rPr>
      </w:pPr>
      <w:r>
        <w:rPr>
          <w:color w:val="000000"/>
          <w:sz w:val="22"/>
        </w:rPr>
      </w:r>
    </w:p>
    <w:p>
      <w:pPr>
        <w:pStyle w:val="BodyText2"/>
        <w:spacing w:before="0" w:after="0"/>
        <w:ind w:start="1440" w:end="-540"/>
        <w:rPr>
          <w:color w:val="000000"/>
          <w:sz w:val="22"/>
        </w:rPr>
      </w:pPr>
      <w:r>
        <w:rPr>
          <w:color w:val="000000"/>
          <w:sz w:val="22"/>
        </w:rPr>
        <w:t>External labor litigation counsel are contesting the claims by 7 former employees of a contractor to the effect that they are employees of Subic Power Corp. in a case filed with the Philippine National Labor Relations Commission,</w:t>
      </w:r>
    </w:p>
    <w:p>
      <w:pPr>
        <w:pStyle w:val="BodyText2"/>
        <w:spacing w:before="0" w:after="0"/>
        <w:ind w:start="1440" w:end="-540"/>
        <w:rPr>
          <w:color w:val="000000"/>
          <w:sz w:val="22"/>
        </w:rPr>
      </w:pPr>
      <w:r>
        <w:rPr>
          <w:color w:val="000000"/>
          <w:sz w:val="22"/>
        </w:rPr>
      </w:r>
    </w:p>
    <w:p>
      <w:pPr>
        <w:pStyle w:val="Normal"/>
        <w:keepLines/>
        <w:ind w:end="-540"/>
        <w:rPr/>
      </w:pPr>
      <w:r>
        <w:rPr>
          <w:bCs/>
          <w:sz w:val="22"/>
        </w:rPr>
        <w:t>XVI.</w:t>
        <w:tab/>
      </w:r>
      <w:r>
        <w:rPr>
          <w:b/>
          <w:sz w:val="22"/>
        </w:rPr>
        <w:t>Guam</w:t>
      </w:r>
      <w:r>
        <w:rPr>
          <w:sz w:val="22"/>
        </w:rPr>
        <w:t xml:space="preserve"> (Angel Esguerra)</w:t>
      </w:r>
    </w:p>
    <w:p>
      <w:pPr>
        <w:pStyle w:val="Normal"/>
        <w:keepLines/>
        <w:ind w:start="720" w:end="-540"/>
        <w:rPr>
          <w:sz w:val="22"/>
          <w:u w:val="single"/>
        </w:rPr>
      </w:pPr>
      <w:r>
        <w:rPr>
          <w:sz w:val="22"/>
          <w:u w:val="single"/>
        </w:rPr>
        <w:t>Piti Power Plant</w:t>
      </w:r>
    </w:p>
    <w:p>
      <w:pPr>
        <w:pStyle w:val="Normal"/>
        <w:keepLines/>
        <w:ind w:end="-540"/>
        <w:rPr>
          <w:sz w:val="22"/>
          <w:u w:val="single"/>
        </w:rPr>
      </w:pPr>
      <w:r>
        <w:rPr>
          <w:sz w:val="22"/>
          <w:u w:val="single"/>
        </w:rPr>
      </w:r>
    </w:p>
    <w:p>
      <w:pPr>
        <w:pStyle w:val="Normal"/>
        <w:keepLines/>
        <w:ind w:hanging="720" w:start="720" w:end="-540"/>
        <w:rPr>
          <w:sz w:val="22"/>
        </w:rPr>
      </w:pPr>
      <w:r>
        <w:rPr>
          <w:sz w:val="22"/>
        </w:rPr>
        <w:tab/>
        <w:t xml:space="preserve">The first quarterly meeting of the partners was held in Manila on April 25, 2001. </w:t>
      </w:r>
    </w:p>
    <w:p>
      <w:pPr>
        <w:pStyle w:val="Normal"/>
        <w:ind w:end="-540"/>
        <w:rPr>
          <w:sz w:val="22"/>
        </w:rPr>
      </w:pPr>
      <w:r>
        <w:rPr>
          <w:sz w:val="22"/>
        </w:rPr>
      </w:r>
    </w:p>
    <w:sectPr>
      <w:headerReference w:type="default" r:id="rId2"/>
      <w:headerReference w:type="first" r:id="rId3"/>
      <w:footerReference w:type="default" r:id="rId4"/>
      <w:footerReference w:type="first" r:id="rId5"/>
      <w:type w:val="nextPage"/>
      <w:pgSz w:w="12240" w:h="15840"/>
      <w:pgMar w:left="1800" w:right="1800" w:gutter="0" w:header="360" w:top="81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Attorney-Client Privileged Communication</w:t>
    </w:r>
  </w:p>
  <w:p>
    <w:pPr>
      <w:pStyle w:val="Header"/>
      <w:jc w:val="end"/>
      <w:rPr>
        <w:b/>
      </w:rPr>
    </w:pPr>
    <w:r>
      <w:rPr>
        <w:b/>
      </w:rPr>
      <w:t>Attorney Work Product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Attorney-Client Privileged Communication</w:t>
    </w:r>
  </w:p>
  <w:p>
    <w:pPr>
      <w:pStyle w:val="Header"/>
      <w:jc w:val="end"/>
      <w:rPr>
        <w:b/>
      </w:rPr>
    </w:pPr>
    <w:r>
      <w:rPr>
        <w:b/>
      </w:rPr>
      <w:t>Attorney Work Product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440"/>
        </w:tabs>
        <w:ind w:start="1440" w:hanging="720"/>
      </w:pPr>
      <w:rPr/>
    </w:lvl>
  </w:abstractNum>
  <w:abstractNum w:abstractNumId="3">
    <w:lvl w:ilvl="0">
      <w:start w:val="1"/>
      <w:numFmt w:val="upperLetter"/>
      <w:lvlText w:val="%1."/>
      <w:lvlJc w:val="start"/>
      <w:pPr>
        <w:tabs>
          <w:tab w:val="num" w:pos="1440"/>
        </w:tabs>
        <w:ind w:start="1440" w:hanging="720"/>
      </w:pPr>
      <w:rPr/>
    </w:lvl>
  </w:abstractNum>
  <w:abstractNum w:abstractNumId="4">
    <w:lvl w:ilvl="0">
      <w:numFmt w:val="bullet"/>
      <w:lvlText w:val=""/>
      <w:lvlJc w:val="start"/>
      <w:pPr>
        <w:tabs>
          <w:tab w:val="num" w:pos="540"/>
        </w:tabs>
        <w:ind w:start="540" w:hanging="360"/>
      </w:pPr>
      <w:rPr>
        <w:rFonts w:ascii="Symbol" w:hAnsi="Symbol" w:cs="Symbol" w:hint="default"/>
        <w:sz w:val="16"/>
      </w:rPr>
    </w:lvl>
  </w:abstractNum>
  <w:abstractNum w:abstractNumId="5">
    <w:lvl w:ilvl="0">
      <w:start w:val="1"/>
      <w:numFmt w:val="upperLetter"/>
      <w:lvlText w:val="%1."/>
      <w:lvlJc w:val="start"/>
      <w:pPr>
        <w:tabs>
          <w:tab w:val="num" w:pos="1440"/>
        </w:tabs>
        <w:ind w:start="1440" w:hanging="720"/>
      </w:pPr>
      <w:rPr>
        <w:u w:val="none"/>
      </w:rPr>
    </w:lvl>
  </w:abstractNum>
  <w:abstractNum w:abstractNumId="6">
    <w:lvl w:ilvl="0">
      <w:start w:val="5"/>
      <w:numFmt w:val="upperRoman"/>
      <w:lvlText w:val="%1."/>
      <w:lvlJc w:val="start"/>
      <w:pPr>
        <w:tabs>
          <w:tab w:val="num" w:pos="720"/>
        </w:tabs>
        <w:ind w:start="720" w:hanging="720"/>
      </w:pPr>
      <w:rPr/>
    </w:lvl>
  </w:abstractNum>
  <w:abstractNum w:abstractNumId="7">
    <w:lvl w:ilvl="0">
      <w:start w:val="8"/>
      <w:numFmt w:val="upperRoman"/>
      <w:lvlText w:val="%1."/>
      <w:lvlJc w:val="start"/>
      <w:pPr>
        <w:tabs>
          <w:tab w:val="num" w:pos="720"/>
        </w:tabs>
        <w:ind w:start="720" w:hanging="720"/>
      </w:pPr>
      <w:rPr/>
    </w:lvl>
  </w:abstractNum>
  <w:abstractNum w:abstractNumId="8">
    <w:lvl w:ilvl="0">
      <w:start w:val="2"/>
      <w:numFmt w:val="upperLetter"/>
      <w:lvlText w:val="%1."/>
      <w:lvlJc w:val="start"/>
      <w:pPr>
        <w:tabs>
          <w:tab w:val="num" w:pos="1440"/>
        </w:tabs>
        <w:ind w:start="1440" w:hanging="720"/>
      </w:pPr>
      <w:rPr/>
    </w:lvl>
  </w:abstractNum>
  <w:abstractNum w:abstractNumId="9">
    <w:lvl w:ilvl="0">
      <w:start w:val="1"/>
      <w:numFmt w:val="upp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ind w:firstLine="720" w:start="0" w:end="0"/>
      <w:outlineLvl w:val="2"/>
    </w:pPr>
    <w:rPr>
      <w:sz w:val="24"/>
      <w:u w:val="single"/>
    </w:rPr>
  </w:style>
  <w:style w:type="paragraph" w:styleId="Heading4">
    <w:name w:val="heading 4"/>
    <w:basedOn w:val="Normal"/>
    <w:next w:val="Normal"/>
    <w:qFormat/>
    <w:pPr>
      <w:keepNext w:val="true"/>
      <w:numPr>
        <w:ilvl w:val="3"/>
        <w:numId w:val="1"/>
      </w:numPr>
      <w:spacing w:lineRule="atLeast" w:line="240"/>
      <w:ind w:firstLine="720" w:start="0" w:end="0"/>
      <w:jc w:val="both"/>
      <w:outlineLvl w:val="3"/>
    </w:pPr>
    <w:rPr>
      <w:color w:val="000000"/>
      <w:sz w:val="22"/>
      <w:u w:val="single"/>
    </w:rPr>
  </w:style>
  <w:style w:type="paragraph" w:styleId="Heading5">
    <w:name w:val="heading 5"/>
    <w:basedOn w:val="Normal"/>
    <w:next w:val="Normal"/>
    <w:qFormat/>
    <w:pPr>
      <w:keepNext w:val="true"/>
      <w:numPr>
        <w:ilvl w:val="4"/>
        <w:numId w:val="1"/>
      </w:numPr>
      <w:outlineLvl w:val="4"/>
    </w:pPr>
    <w:rPr>
      <w:rFonts w:ascii="Arial" w:hAnsi="Arial" w:cs="Arial"/>
      <w:b/>
      <w:sz w:val="24"/>
    </w:rPr>
  </w:style>
  <w:style w:type="paragraph" w:styleId="Heading6">
    <w:name w:val="heading 6"/>
    <w:basedOn w:val="Normal"/>
    <w:next w:val="Normal"/>
    <w:qFormat/>
    <w:pPr>
      <w:keepNext w:val="true"/>
      <w:numPr>
        <w:ilvl w:val="5"/>
        <w:numId w:val="1"/>
      </w:numPr>
      <w:jc w:val="both"/>
      <w:outlineLvl w:val="5"/>
    </w:pPr>
    <w:rPr>
      <w:rFonts w:ascii="Arial" w:hAnsi="Arial" w:cs="Arial"/>
      <w:b/>
      <w:sz w:val="24"/>
    </w:rPr>
  </w:style>
  <w:style w:type="paragraph" w:styleId="Heading7">
    <w:name w:val="heading 7"/>
    <w:basedOn w:val="Normal"/>
    <w:next w:val="Normal"/>
    <w:qFormat/>
    <w:pPr>
      <w:keepNext w:val="true"/>
      <w:numPr>
        <w:ilvl w:val="6"/>
        <w:numId w:val="1"/>
      </w:numPr>
      <w:ind w:firstLine="720" w:start="0" w:end="0"/>
      <w:outlineLvl w:val="6"/>
    </w:pPr>
    <w:rPr>
      <w:sz w:val="24"/>
    </w:rPr>
  </w:style>
  <w:style w:type="paragraph" w:styleId="Heading8">
    <w:name w:val="heading 8"/>
    <w:basedOn w:val="Normal"/>
    <w:next w:val="Normal"/>
    <w:qFormat/>
    <w:pPr>
      <w:keepNext w:val="true"/>
      <w:numPr>
        <w:ilvl w:val="7"/>
        <w:numId w:val="1"/>
      </w:numPr>
      <w:ind w:hanging="0" w:start="720" w:end="0"/>
      <w:outlineLvl w:val="7"/>
    </w:pPr>
    <w:rPr>
      <w:sz w:val="24"/>
      <w:u w:val="single"/>
    </w:rPr>
  </w:style>
  <w:style w:type="paragraph" w:styleId="Heading9">
    <w:name w:val="heading 9"/>
    <w:basedOn w:val="Normal"/>
    <w:next w:val="Normal"/>
    <w:qFormat/>
    <w:pPr>
      <w:keepNext w:val="true"/>
      <w:numPr>
        <w:ilvl w:val="8"/>
        <w:numId w:val="1"/>
      </w:numPr>
      <w:spacing w:lineRule="atLeast" w:line="240"/>
      <w:ind w:firstLine="720" w:start="0" w:end="0"/>
      <w:outlineLvl w:val="8"/>
    </w:pPr>
    <w:rPr>
      <w:color w:val="000000"/>
      <w:sz w:val="24"/>
      <w:u w:val="single"/>
    </w:rPr>
  </w:style>
  <w:style w:type="character" w:styleId="WW8Num1z0">
    <w:name w:val="WW8Num1z0"/>
    <w:qFormat/>
    <w:rPr>
      <w:b/>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b w:val="fals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b/>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rFonts w:ascii="Symbol" w:hAnsi="Symbol" w:cs="Symbol"/>
      <w:sz w:val="16"/>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u w:val="none"/>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b/>
    </w:rPr>
  </w:style>
  <w:style w:type="character" w:styleId="WW8Num49z0">
    <w:name w:val="WW8Num49z0"/>
    <w:qFormat/>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5">
    <w:name w:val="WW8Num51z5"/>
    <w:qFormat/>
    <w:rPr>
      <w:rFonts w:ascii="Wingdings" w:hAnsi="Wingdings" w:cs="Wingdings"/>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style>
  <w:style w:type="character" w:styleId="WW8Num56z0">
    <w:name w:val="WW8Num56z0"/>
    <w:qFormat/>
    <w:rPr>
      <w:u w:val="none"/>
    </w:rPr>
  </w:style>
  <w:style w:type="character" w:styleId="WW8Num56z1">
    <w:name w:val="WW8Num56z1"/>
    <w:qFormat/>
    <w:rPr/>
  </w:style>
  <w:style w:type="character" w:styleId="WW8Num57z0">
    <w:name w:val="WW8Num57z0"/>
    <w:qFormat/>
    <w:rPr/>
  </w:style>
  <w:style w:type="character" w:styleId="WW8Num58z0">
    <w:name w:val="WW8Num58z0"/>
    <w:qFormat/>
    <w:rPr/>
  </w:style>
  <w:style w:type="character" w:styleId="WW8Num59z0">
    <w:name w:val="WW8Num59z0"/>
    <w:qFormat/>
    <w:rPr>
      <w:rFonts w:ascii="Symbol" w:hAnsi="Symbol" w:cs="Symbol"/>
      <w:sz w:val="16"/>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9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720" w:start="1440" w:end="0"/>
    </w:pPr>
    <w:rPr>
      <w:sz w:val="24"/>
    </w:rPr>
  </w:style>
  <w:style w:type="paragraph" w:styleId="BodyTextIndent3">
    <w:name w:val="Body Text Indent 3"/>
    <w:basedOn w:val="Normal"/>
    <w:qFormat/>
    <w:pPr>
      <w:ind w:firstLine="720" w:start="720" w:end="0"/>
    </w:pPr>
    <w:rPr>
      <w:sz w:val="24"/>
    </w:rPr>
  </w:style>
  <w:style w:type="paragraph" w:styleId="BodyText2">
    <w:name w:val="Body Text 2"/>
    <w:basedOn w:val="Normal"/>
    <w:qFormat/>
    <w:pPr>
      <w:spacing w:before="0" w:after="120"/>
    </w:pPr>
    <w:rPr>
      <w:color w:val="000000"/>
      <w:sz w:val="24"/>
    </w:rPr>
  </w:style>
  <w:style w:type="paragraph" w:styleId="BodyText3">
    <w:name w:val="Body Text 3"/>
    <w:basedOn w:val="Normal"/>
    <w:qFormat/>
    <w:pPr>
      <w:jc w:val="both"/>
    </w:pPr>
    <w:rPr>
      <w:rFonts w:ascii="Arial" w:hAnsi="Arial" w:cs="Arial"/>
    </w:rPr>
  </w:style>
  <w:style w:type="paragraph" w:styleId="BlockText">
    <w:name w:val="Block Text"/>
    <w:basedOn w:val="Normal"/>
    <w:qFormat/>
    <w:pPr>
      <w:ind w:hanging="0" w:start="1440" w:end="-540"/>
    </w:pPr>
    <w:rPr>
      <w:color w:val="000000"/>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2001-05-15T19:56:00Z</dcterms:created>
  <dc:creator>EI</dc:creator>
  <dc:description/>
  <dc:language>en-CA</dc:language>
  <cp:lastModifiedBy>Wendi Hoelscher</cp:lastModifiedBy>
  <cp:lastPrinted>2001-05-15T16:51:00Z</cp:lastPrinted>
  <dcterms:modified xsi:type="dcterms:W3CDTF">2001-05-15T19:56:00Z</dcterms:modified>
  <cp:revision>2</cp:revision>
  <dc:subject/>
  <dc:title>Enron Nigeria Power Holding Limited</dc:title>
</cp:coreProperties>
</file>