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end="-540"/>
        <w:jc w:val="center"/>
        <w:rPr>
          <w:b/>
          <w:sz w:val="22"/>
        </w:rPr>
      </w:pPr>
      <w:r>
        <w:rPr>
          <w:b/>
          <w:sz w:val="22"/>
        </w:rPr>
        <w:t>Enron Global Assets</w:t>
      </w:r>
    </w:p>
    <w:p>
      <w:pPr>
        <w:pStyle w:val="Heading2"/>
        <w:ind w:hanging="0" w:start="0" w:end="-540"/>
        <w:rPr>
          <w:sz w:val="22"/>
        </w:rPr>
      </w:pPr>
      <w:r>
        <w:rPr>
          <w:sz w:val="22"/>
        </w:rPr>
        <w:t>Monthly Report</w:t>
      </w:r>
    </w:p>
    <w:p>
      <w:pPr>
        <w:pStyle w:val="Normal"/>
        <w:ind w:end="-540"/>
        <w:jc w:val="center"/>
        <w:rPr>
          <w:b/>
          <w:sz w:val="22"/>
        </w:rPr>
      </w:pPr>
      <w:r>
        <w:rPr>
          <w:b/>
          <w:sz w:val="22"/>
        </w:rPr>
        <w:t>March 2001</w:t>
      </w:r>
    </w:p>
    <w:p>
      <w:pPr>
        <w:pStyle w:val="Heading1"/>
        <w:ind w:hanging="0" w:start="0" w:end="-540"/>
        <w:rPr>
          <w:b/>
          <w:sz w:val="22"/>
        </w:rPr>
      </w:pPr>
      <w:r>
        <w:rPr>
          <w:b/>
          <w:sz w:val="22"/>
        </w:rPr>
      </w:r>
    </w:p>
    <w:p>
      <w:pPr>
        <w:pStyle w:val="Heading1"/>
        <w:ind w:hanging="0" w:start="0" w:end="-540"/>
        <w:rPr>
          <w:sz w:val="22"/>
        </w:rPr>
      </w:pPr>
      <w:r>
        <w:rPr>
          <w:sz w:val="22"/>
        </w:rPr>
      </w:r>
    </w:p>
    <w:p>
      <w:pPr>
        <w:pStyle w:val="Heading1"/>
        <w:numPr>
          <w:ilvl w:val="0"/>
          <w:numId w:val="14"/>
        </w:numPr>
        <w:ind w:hanging="720" w:start="720" w:end="-540"/>
        <w:rPr>
          <w:sz w:val="22"/>
        </w:rPr>
      </w:pPr>
      <w:r>
        <w:rPr>
          <w:b/>
          <w:sz w:val="22"/>
        </w:rPr>
        <w:t xml:space="preserve">Major EGA Initiatives </w:t>
      </w:r>
      <w:r>
        <w:rPr>
          <w:sz w:val="22"/>
        </w:rPr>
        <w:t>(Bruce Lundstrom and Bill Krenz)</w:t>
      </w:r>
    </w:p>
    <w:p>
      <w:pPr>
        <w:pStyle w:val="Heading1"/>
        <w:ind w:hanging="0" w:start="0" w:end="-540"/>
        <w:rPr>
          <w:sz w:val="22"/>
        </w:rPr>
      </w:pPr>
      <w:r>
        <w:rPr>
          <w:sz w:val="22"/>
        </w:rPr>
      </w:r>
    </w:p>
    <w:p>
      <w:pPr>
        <w:pStyle w:val="Heading1"/>
        <w:ind w:hanging="0" w:start="720" w:end="-540"/>
        <w:rPr>
          <w:sz w:val="22"/>
        </w:rPr>
      </w:pPr>
      <w:r>
        <w:rPr>
          <w:sz w:val="22"/>
        </w:rPr>
        <w:t>We have purchased a scanner and are scanning EGA project documents onto the system.</w:t>
      </w:r>
    </w:p>
    <w:p>
      <w:pPr>
        <w:pStyle w:val="Normal"/>
        <w:ind w:end="-540"/>
        <w:rPr>
          <w:sz w:val="22"/>
        </w:rPr>
      </w:pPr>
      <w:r>
        <w:rPr>
          <w:sz w:val="22"/>
        </w:rPr>
      </w:r>
    </w:p>
    <w:p>
      <w:pPr>
        <w:pStyle w:val="BodyText"/>
        <w:ind w:hanging="720" w:start="720" w:end="-540"/>
        <w:rPr>
          <w:sz w:val="22"/>
        </w:rPr>
      </w:pPr>
      <w:r>
        <w:rPr>
          <w:sz w:val="22"/>
        </w:rPr>
        <w:tab/>
        <w:t>We are also supporting the production of materials to the potential buyer of certain EGA assets as part of Project Hurricane.</w:t>
      </w:r>
    </w:p>
    <w:p>
      <w:pPr>
        <w:pStyle w:val="Normal"/>
        <w:ind w:end="-540"/>
        <w:rPr>
          <w:sz w:val="22"/>
        </w:rPr>
      </w:pPr>
      <w:r>
        <w:rPr>
          <w:sz w:val="22"/>
        </w:rPr>
      </w:r>
    </w:p>
    <w:p>
      <w:pPr>
        <w:pStyle w:val="BodyText"/>
        <w:numPr>
          <w:ilvl w:val="0"/>
          <w:numId w:val="14"/>
        </w:numPr>
        <w:tabs>
          <w:tab w:val="clear" w:pos="720"/>
          <w:tab w:val="left" w:pos="1440" w:leader="none"/>
          <w:tab w:val="left" w:pos="2160" w:leader="none"/>
          <w:tab w:val="left" w:pos="7740" w:leader="none"/>
          <w:tab w:val="left" w:pos="8370" w:leader="none"/>
        </w:tabs>
        <w:ind w:hanging="720" w:start="720" w:end="-540"/>
        <w:rPr>
          <w:sz w:val="22"/>
        </w:rPr>
      </w:pPr>
      <w:r>
        <w:rPr>
          <w:b/>
          <w:sz w:val="22"/>
        </w:rPr>
        <w:t>Hainan</w:t>
      </w:r>
      <w:r>
        <w:rPr>
          <w:sz w:val="22"/>
        </w:rPr>
        <w:t xml:space="preserve"> (Bill Krenz)</w:t>
      </w:r>
    </w:p>
    <w:p>
      <w:pPr>
        <w:pStyle w:val="BodyText"/>
        <w:tabs>
          <w:tab w:val="left" w:pos="720" w:leader="none"/>
          <w:tab w:val="left" w:pos="1440" w:leader="none"/>
          <w:tab w:val="left" w:pos="2160" w:leader="none"/>
          <w:tab w:val="left" w:pos="7740" w:leader="none"/>
          <w:tab w:val="left" w:pos="8370" w:leader="none"/>
        </w:tabs>
        <w:ind w:start="720" w:end="-540"/>
        <w:rPr>
          <w:sz w:val="22"/>
          <w:u w:val="single"/>
        </w:rPr>
      </w:pPr>
      <w:r>
        <w:rPr>
          <w:sz w:val="22"/>
          <w:u w:val="single"/>
        </w:rPr>
        <w:t>Hainan Island Power Plant Settlement</w:t>
      </w:r>
    </w:p>
    <w:p>
      <w:pPr>
        <w:pStyle w:val="BodyText"/>
        <w:tabs>
          <w:tab w:val="clear" w:pos="720"/>
          <w:tab w:val="left" w:pos="7740" w:leader="none"/>
          <w:tab w:val="left" w:pos="8370" w:leader="none"/>
        </w:tabs>
        <w:ind w:end="-540"/>
        <w:rPr>
          <w:b/>
          <w:sz w:val="22"/>
          <w:u w:val="single"/>
        </w:rPr>
      </w:pPr>
      <w:r>
        <w:rPr>
          <w:b/>
          <w:sz w:val="22"/>
          <w:u w:val="single"/>
        </w:rPr>
      </w:r>
    </w:p>
    <w:p>
      <w:pPr>
        <w:pStyle w:val="BodyText"/>
        <w:ind w:start="720" w:end="-540"/>
        <w:rPr>
          <w:sz w:val="22"/>
        </w:rPr>
      </w:pPr>
      <w:r>
        <w:rPr>
          <w:sz w:val="22"/>
        </w:rPr>
        <w:t xml:space="preserve">The transfer of the Hainan Qinglan Plant to Hainan Province Electric Power Co., Ltd. (HEPCO) scheduled to take place at the end of March, pursuant to the PPC Termination Agreement. Bill Krenz is in Hong Kong to finalize arrangements for receiving the last installment from HEPCO under the settlement agreement.  </w:t>
      </w:r>
    </w:p>
    <w:p>
      <w:pPr>
        <w:pStyle w:val="BodyText"/>
        <w:tabs>
          <w:tab w:val="left" w:pos="720" w:leader="none"/>
        </w:tabs>
        <w:ind w:end="-540"/>
        <w:rPr>
          <w:sz w:val="22"/>
        </w:rPr>
      </w:pPr>
      <w:r>
        <w:rPr>
          <w:sz w:val="22"/>
        </w:rPr>
      </w:r>
    </w:p>
    <w:p>
      <w:pPr>
        <w:pStyle w:val="Heading1"/>
        <w:ind w:hanging="0" w:start="0" w:end="-540"/>
        <w:rPr/>
      </w:pPr>
      <w:r>
        <w:rPr>
          <w:sz w:val="22"/>
        </w:rPr>
        <w:t>III.</w:t>
        <w:tab/>
      </w:r>
      <w:r>
        <w:rPr>
          <w:b/>
          <w:sz w:val="22"/>
        </w:rPr>
        <w:t xml:space="preserve">Enron Nigeria Power Holding Limited  </w:t>
      </w:r>
      <w:r>
        <w:rPr>
          <w:sz w:val="22"/>
        </w:rPr>
        <w:t>(Yao Apasu)</w:t>
      </w:r>
    </w:p>
    <w:p>
      <w:pPr>
        <w:pStyle w:val="Normal"/>
        <w:ind w:firstLine="720" w:end="-540"/>
        <w:rPr>
          <w:sz w:val="22"/>
        </w:rPr>
      </w:pPr>
      <w:r>
        <w:rPr>
          <w:sz w:val="22"/>
        </w:rPr>
        <w:t>548 MW gas-fired plant in Lagos, Nigeria</w:t>
      </w:r>
    </w:p>
    <w:p>
      <w:pPr>
        <w:pStyle w:val="Normal"/>
        <w:ind w:firstLine="720" w:end="-540"/>
        <w:rPr>
          <w:sz w:val="22"/>
          <w:u w:val="single"/>
        </w:rPr>
      </w:pPr>
      <w:r>
        <w:rPr>
          <w:sz w:val="22"/>
          <w:u w:val="single"/>
        </w:rPr>
        <w:t>280 km Pipeline from the Niger Delta to Lagos</w:t>
      </w:r>
    </w:p>
    <w:p>
      <w:pPr>
        <w:pStyle w:val="Normal"/>
        <w:ind w:end="-540"/>
        <w:rPr>
          <w:sz w:val="22"/>
          <w:u w:val="single"/>
        </w:rPr>
      </w:pPr>
      <w:r>
        <w:rPr>
          <w:sz w:val="22"/>
          <w:u w:val="single"/>
        </w:rPr>
      </w:r>
    </w:p>
    <w:p>
      <w:pPr>
        <w:pStyle w:val="Normal"/>
        <w:ind w:hanging="720" w:start="720" w:end="-540"/>
        <w:rPr>
          <w:sz w:val="22"/>
        </w:rPr>
      </w:pPr>
      <w:r>
        <w:rPr>
          <w:sz w:val="22"/>
        </w:rPr>
        <w:tab/>
        <w:t xml:space="preserve">Negotiations are continuing with the officials of the Lagos State Government, the Nigerian Federal Government and the National Electric Power Authority to amend and restate the PPA executed among such parties and Enron Power Holding on December 6, 1999.  </w:t>
      </w:r>
    </w:p>
    <w:p>
      <w:pPr>
        <w:pStyle w:val="Normal"/>
        <w:ind w:end="-540"/>
        <w:rPr>
          <w:sz w:val="22"/>
        </w:rPr>
      </w:pPr>
      <w:r>
        <w:rPr>
          <w:sz w:val="22"/>
        </w:rPr>
      </w:r>
    </w:p>
    <w:p>
      <w:pPr>
        <w:pStyle w:val="Normal"/>
        <w:keepNext w:val="true"/>
        <w:keepLines/>
        <w:ind w:end="-540"/>
        <w:rPr/>
      </w:pPr>
      <w:r>
        <w:rPr>
          <w:sz w:val="22"/>
        </w:rPr>
        <w:t>IV.</w:t>
        <w:tab/>
      </w:r>
      <w:r>
        <w:rPr>
          <w:b/>
          <w:sz w:val="22"/>
        </w:rPr>
        <w:t xml:space="preserve">Dominican Republic </w:t>
      </w:r>
      <w:r>
        <w:rPr>
          <w:sz w:val="22"/>
        </w:rPr>
        <w:t>(Yao Apasu)</w:t>
      </w:r>
    </w:p>
    <w:p>
      <w:pPr>
        <w:pStyle w:val="Heading3"/>
        <w:keepLines/>
        <w:ind w:end="-540"/>
        <w:rPr>
          <w:sz w:val="22"/>
        </w:rPr>
      </w:pPr>
      <w:r>
        <w:rPr>
          <w:sz w:val="22"/>
        </w:rPr>
        <w:t>Smith Enron Cogeneration Limited Partnership (SECLP)</w:t>
      </w:r>
    </w:p>
    <w:p>
      <w:pPr>
        <w:pStyle w:val="Normal"/>
        <w:keepNext w:val="true"/>
        <w:keepLines/>
        <w:ind w:end="-540"/>
        <w:rPr>
          <w:sz w:val="22"/>
        </w:rPr>
      </w:pPr>
      <w:r>
        <w:rPr>
          <w:sz w:val="22"/>
        </w:rPr>
      </w:r>
    </w:p>
    <w:p>
      <w:pPr>
        <w:pStyle w:val="BodyText"/>
        <w:numPr>
          <w:ilvl w:val="0"/>
          <w:numId w:val="7"/>
        </w:numPr>
        <w:ind w:hanging="720" w:start="1440" w:end="-540"/>
        <w:rPr>
          <w:sz w:val="22"/>
        </w:rPr>
      </w:pPr>
      <w:r>
        <w:rPr>
          <w:sz w:val="22"/>
          <w:u w:val="single"/>
        </w:rPr>
        <w:t>Transfer of PPA</w:t>
      </w:r>
      <w:r>
        <w:rPr>
          <w:sz w:val="22"/>
        </w:rPr>
        <w:t>. We are continuing the review and analysis of project documents to provide the legal basis for facilitating the transfer of the government’s obligations under the PPA to Union Fenosa.</w:t>
      </w:r>
    </w:p>
    <w:p>
      <w:pPr>
        <w:pStyle w:val="BodyTextIndent2"/>
        <w:ind w:hanging="0" w:end="-540"/>
        <w:rPr>
          <w:sz w:val="22"/>
        </w:rPr>
      </w:pPr>
      <w:r>
        <w:rPr>
          <w:sz w:val="22"/>
        </w:rPr>
      </w:r>
    </w:p>
    <w:p>
      <w:pPr>
        <w:pStyle w:val="BodyTextIndent2"/>
        <w:numPr>
          <w:ilvl w:val="0"/>
          <w:numId w:val="7"/>
        </w:numPr>
        <w:ind w:hanging="720" w:start="1440" w:end="-540"/>
        <w:rPr>
          <w:sz w:val="22"/>
        </w:rPr>
      </w:pPr>
      <w:r>
        <w:rPr>
          <w:sz w:val="22"/>
          <w:u w:val="single"/>
        </w:rPr>
        <w:t>Delinquent Accounts Receivable</w:t>
      </w:r>
      <w:r>
        <w:rPr>
          <w:sz w:val="22"/>
        </w:rPr>
        <w:t>.  Negotiations are currently going on with the government of the Dominican Republic to replenish the government guaranty letter of credit and to collect the past due receivables.</w:t>
      </w:r>
    </w:p>
    <w:p>
      <w:pPr>
        <w:pStyle w:val="BodyTextIndent"/>
        <w:ind w:start="1440" w:end="-540"/>
        <w:rPr>
          <w:sz w:val="22"/>
        </w:rPr>
      </w:pPr>
      <w:r>
        <w:rPr>
          <w:sz w:val="22"/>
        </w:rPr>
      </w:r>
    </w:p>
    <w:p>
      <w:pPr>
        <w:pStyle w:val="BodyTextIndent3"/>
        <w:numPr>
          <w:ilvl w:val="0"/>
          <w:numId w:val="7"/>
        </w:numPr>
        <w:ind w:hanging="720" w:start="1440" w:end="-540"/>
        <w:rPr>
          <w:sz w:val="22"/>
        </w:rPr>
      </w:pPr>
      <w:r>
        <w:rPr>
          <w:sz w:val="22"/>
          <w:u w:val="single"/>
        </w:rPr>
        <w:t>Boilers</w:t>
      </w:r>
      <w:r>
        <w:rPr>
          <w:sz w:val="22"/>
        </w:rPr>
        <w:t>. Foster Wheeler and Raytheon (“FW&amp;R”), the original EPC contractors, has conducted a five (5) day fact-finding study at the plant for the installation of the new boilers and interconnections to the plant.</w:t>
      </w:r>
    </w:p>
    <w:p>
      <w:pPr>
        <w:pStyle w:val="Normal"/>
        <w:ind w:end="-540"/>
        <w:rPr>
          <w:sz w:val="22"/>
        </w:rPr>
      </w:pPr>
      <w:r>
        <w:rPr>
          <w:sz w:val="22"/>
        </w:rPr>
      </w:r>
    </w:p>
    <w:p>
      <w:pPr>
        <w:pStyle w:val="BodyTextIndent2"/>
        <w:numPr>
          <w:ilvl w:val="0"/>
          <w:numId w:val="7"/>
        </w:numPr>
        <w:ind w:hanging="720" w:start="1440" w:end="-540"/>
        <w:rPr>
          <w:sz w:val="22"/>
        </w:rPr>
      </w:pPr>
      <w:r>
        <w:rPr>
          <w:sz w:val="22"/>
          <w:u w:val="single"/>
        </w:rPr>
        <w:t>Steam Turbines</w:t>
      </w:r>
      <w:r>
        <w:rPr>
          <w:sz w:val="22"/>
        </w:rPr>
        <w:t xml:space="preserve">.  Negotiations are continuing with the insurance company to recover the lost revenues covered by business interruption insurance, which after the 45-day deductible is estimated to be $4.5MM. </w:t>
      </w:r>
    </w:p>
    <w:p>
      <w:pPr>
        <w:pStyle w:val="BodyTextIndent2"/>
        <w:ind w:hanging="0" w:start="0" w:end="-540"/>
        <w:rPr>
          <w:sz w:val="22"/>
        </w:rPr>
      </w:pPr>
      <w:r>
        <w:rPr>
          <w:sz w:val="22"/>
        </w:rPr>
      </w:r>
    </w:p>
    <w:p>
      <w:pPr>
        <w:pStyle w:val="BodyText"/>
        <w:numPr>
          <w:ilvl w:val="0"/>
          <w:numId w:val="10"/>
        </w:numPr>
        <w:tabs>
          <w:tab w:val="clear" w:pos="720"/>
          <w:tab w:val="left" w:pos="1440" w:leader="none"/>
          <w:tab w:val="left" w:pos="2160" w:leader="none"/>
          <w:tab w:val="left" w:pos="7740" w:leader="none"/>
          <w:tab w:val="left" w:pos="8370" w:leader="none"/>
        </w:tabs>
        <w:ind w:hanging="720" w:start="720" w:end="-540"/>
        <w:rPr>
          <w:sz w:val="22"/>
        </w:rPr>
      </w:pPr>
      <w:r>
        <w:rPr>
          <w:b/>
          <w:sz w:val="22"/>
        </w:rPr>
        <w:t>Jamaica</w:t>
      </w:r>
      <w:r>
        <w:rPr>
          <w:sz w:val="22"/>
        </w:rPr>
        <w:t xml:space="preserve"> (Yao Apasu)</w:t>
      </w:r>
    </w:p>
    <w:p>
      <w:pPr>
        <w:pStyle w:val="BodyText"/>
        <w:tabs>
          <w:tab w:val="left" w:pos="720" w:leader="none"/>
          <w:tab w:val="left" w:pos="1440" w:leader="none"/>
          <w:tab w:val="left" w:pos="2160" w:leader="none"/>
          <w:tab w:val="left" w:pos="7740" w:leader="none"/>
          <w:tab w:val="left" w:pos="8370" w:leader="none"/>
        </w:tabs>
        <w:ind w:start="720" w:end="-540"/>
        <w:rPr>
          <w:sz w:val="22"/>
        </w:rPr>
      </w:pPr>
      <w:r>
        <w:rPr>
          <w:sz w:val="22"/>
          <w:u w:val="single"/>
        </w:rPr>
        <w:t>ILG</w:t>
      </w:r>
    </w:p>
    <w:p>
      <w:pPr>
        <w:pStyle w:val="BodyText"/>
        <w:tabs>
          <w:tab w:val="left" w:pos="720" w:leader="none"/>
          <w:tab w:val="left" w:pos="1440" w:leader="none"/>
          <w:tab w:val="left" w:pos="2160" w:leader="none"/>
          <w:tab w:val="left" w:pos="7740" w:leader="none"/>
          <w:tab w:val="left" w:pos="8370" w:leader="none"/>
        </w:tabs>
        <w:ind w:end="-540"/>
        <w:rPr>
          <w:sz w:val="22"/>
        </w:rPr>
      </w:pPr>
      <w:r>
        <w:rPr>
          <w:sz w:val="22"/>
        </w:rPr>
      </w:r>
    </w:p>
    <w:p>
      <w:pPr>
        <w:pStyle w:val="BodyText"/>
        <w:tabs>
          <w:tab w:val="left" w:pos="720" w:leader="none"/>
          <w:tab w:val="left" w:pos="1440" w:leader="none"/>
          <w:tab w:val="left" w:pos="2160" w:leader="none"/>
          <w:tab w:val="left" w:pos="7740" w:leader="none"/>
          <w:tab w:val="left" w:pos="8370" w:leader="none"/>
        </w:tabs>
        <w:ind w:hanging="720" w:start="720" w:end="-540"/>
        <w:rPr>
          <w:sz w:val="22"/>
        </w:rPr>
      </w:pPr>
      <w:r>
        <w:rPr>
          <w:sz w:val="22"/>
        </w:rPr>
        <w:tab/>
        <w:t>ILG has filed an action seeking an interlocutory injunction against Petcom (a government LPG plant) and its managers to stop the illegal filling of customers’ cylinders with LPG.  The hearing has taken place and the judge’s decision is pending.</w:t>
      </w:r>
    </w:p>
    <w:p>
      <w:pPr>
        <w:pStyle w:val="BodyText"/>
        <w:tabs>
          <w:tab w:val="left" w:pos="720" w:leader="none"/>
          <w:tab w:val="left" w:pos="1440" w:leader="none"/>
          <w:tab w:val="left" w:pos="2160" w:leader="none"/>
          <w:tab w:val="left" w:pos="7740" w:leader="none"/>
          <w:tab w:val="left" w:pos="8370" w:leader="none"/>
        </w:tabs>
        <w:ind w:end="-540"/>
        <w:rPr>
          <w:sz w:val="22"/>
        </w:rPr>
      </w:pPr>
      <w:r>
        <w:rPr>
          <w:sz w:val="22"/>
        </w:rPr>
      </w:r>
    </w:p>
    <w:p>
      <w:pPr>
        <w:pStyle w:val="BodyText"/>
        <w:numPr>
          <w:ilvl w:val="0"/>
          <w:numId w:val="10"/>
        </w:numPr>
        <w:ind w:hanging="720" w:start="720" w:end="-540"/>
        <w:rPr>
          <w:sz w:val="22"/>
        </w:rPr>
      </w:pPr>
      <w:r>
        <w:rPr>
          <w:b/>
          <w:sz w:val="22"/>
        </w:rPr>
        <w:t>India</w:t>
      </w:r>
      <w:r>
        <w:rPr>
          <w:sz w:val="22"/>
        </w:rPr>
        <w:t xml:space="preserve"> (Robert Mathis and Paul Kraske)</w:t>
      </w:r>
    </w:p>
    <w:p>
      <w:pPr>
        <w:pStyle w:val="BodyText"/>
        <w:ind w:start="720" w:end="-540"/>
        <w:rPr>
          <w:sz w:val="22"/>
          <w:u w:val="single"/>
        </w:rPr>
      </w:pPr>
      <w:r>
        <w:rPr>
          <w:sz w:val="22"/>
          <w:u w:val="single"/>
        </w:rPr>
        <w:t>Dabhol Power Company</w:t>
      </w:r>
    </w:p>
    <w:p>
      <w:pPr>
        <w:pStyle w:val="BodyText"/>
        <w:tabs>
          <w:tab w:val="left" w:pos="720" w:leader="none"/>
        </w:tabs>
        <w:ind w:end="-540"/>
        <w:rPr>
          <w:sz w:val="22"/>
          <w:u w:val="single"/>
        </w:rPr>
      </w:pPr>
      <w:r>
        <w:rPr>
          <w:sz w:val="22"/>
          <w:u w:val="single"/>
        </w:rPr>
      </w:r>
    </w:p>
    <w:p>
      <w:pPr>
        <w:pStyle w:val="Heading1"/>
        <w:ind w:firstLine="720" w:start="0" w:end="-540"/>
        <w:rPr/>
      </w:pPr>
      <w:r>
        <w:rPr>
          <w:sz w:val="22"/>
        </w:rPr>
        <w:t>A.</w:t>
        <w:tab/>
      </w:r>
      <w:r>
        <w:rPr>
          <w:sz w:val="22"/>
          <w:u w:val="single"/>
        </w:rPr>
        <w:t>MSEB Payment Status</w:t>
      </w:r>
    </w:p>
    <w:p>
      <w:pPr>
        <w:pStyle w:val="Normal"/>
        <w:ind w:start="1440" w:end="-540"/>
        <w:rPr/>
      </w:pPr>
      <w:r>
        <w:rPr>
          <w:sz w:val="22"/>
        </w:rPr>
        <w:t>On Thursday, March 8, 2001, DPC invoked the government of India (GoI) guarantee for the payment of the December bill in the amount of Crores 102. The January bill in the amount of Crores 127 is in dispute due to the MSEB’s claim of misdeclaration and the levy of a penalty in the amount of Crores 400. Though the claim is not bona fide and the terms of the PPA prevent setoff, MSEB may attempt to offset the February bill (due March 5</w:t>
      </w:r>
      <w:r>
        <w:rPr>
          <w:sz w:val="22"/>
          <w:vertAlign w:val="superscript"/>
        </w:rPr>
        <w:t>th</w:t>
      </w:r>
      <w:r>
        <w:rPr>
          <w:sz w:val="22"/>
        </w:rPr>
        <w:t>, past due March 25</w:t>
      </w:r>
      <w:r>
        <w:rPr>
          <w:sz w:val="22"/>
          <w:vertAlign w:val="superscript"/>
        </w:rPr>
        <w:t>th</w:t>
      </w:r>
      <w:r>
        <w:rPr>
          <w:sz w:val="22"/>
        </w:rPr>
        <w:t>). The February bill is in the amount of Crores 113. DPC will pursue the guarantees or letter of credit, if available, for the February bill if it is not paid by March 25</w:t>
      </w:r>
      <w:r>
        <w:rPr>
          <w:sz w:val="22"/>
          <w:vertAlign w:val="superscript"/>
        </w:rPr>
        <w:t>th</w:t>
      </w:r>
      <w:r>
        <w:rPr>
          <w:sz w:val="22"/>
        </w:rPr>
        <w:t xml:space="preserve">. </w:t>
      </w:r>
    </w:p>
    <w:p>
      <w:pPr>
        <w:pStyle w:val="Normal"/>
        <w:ind w:start="720" w:end="-540"/>
        <w:jc w:val="both"/>
        <w:rPr>
          <w:sz w:val="22"/>
        </w:rPr>
      </w:pPr>
      <w:r>
        <w:rPr>
          <w:sz w:val="22"/>
        </w:rPr>
      </w:r>
    </w:p>
    <w:p>
      <w:pPr>
        <w:pStyle w:val="Heading1"/>
        <w:ind w:firstLine="720" w:start="0" w:end="-540"/>
        <w:rPr/>
      </w:pPr>
      <w:r>
        <w:rPr>
          <w:sz w:val="22"/>
        </w:rPr>
        <w:t>B.</w:t>
        <w:tab/>
      </w:r>
      <w:r>
        <w:rPr>
          <w:sz w:val="22"/>
          <w:u w:val="single"/>
        </w:rPr>
        <w:t>Finance Status</w:t>
      </w:r>
    </w:p>
    <w:p>
      <w:pPr>
        <w:pStyle w:val="Normal"/>
        <w:ind w:start="1440" w:end="-540"/>
        <w:rPr>
          <w:sz w:val="22"/>
        </w:rPr>
      </w:pPr>
      <w:r>
        <w:rPr>
          <w:sz w:val="22"/>
        </w:rPr>
        <w:t>The March loan disbursement in the total amount of USD 16 million has not been made to DPC from JBIC/MITI, and OND, which funds would have been used to pay the March invoice of DPC’s EPC contractor (USD 18 million). During the period that MSEB has more than one outstanding monthly payment, the offshore lenders appear to be signaling that their consent for future disbursements will depend upon DPC shareholders (Enron, GE, Bechtel) contributing their completion support equity (up to USD233 million) in an amount that is prorata (70/30%) to the lenders amount of disbursement. Finally, IFCI, a rupee loan lender, does not want to fund the balance of its loan commitment due to its financial constraints. DPC will meet IFCI to continue to put pressure on IFCI to at least fund its interest during construction and additional disbursements.</w:t>
      </w:r>
    </w:p>
    <w:p>
      <w:pPr>
        <w:pStyle w:val="BodyText"/>
        <w:tabs>
          <w:tab w:val="left" w:pos="720" w:leader="none"/>
        </w:tabs>
        <w:ind w:start="1440" w:end="-540"/>
        <w:rPr>
          <w:sz w:val="22"/>
        </w:rPr>
      </w:pPr>
      <w:r>
        <w:rPr>
          <w:sz w:val="22"/>
        </w:rPr>
      </w:r>
    </w:p>
    <w:p>
      <w:pPr>
        <w:pStyle w:val="Heading4"/>
        <w:spacing w:lineRule="auto" w:line="240"/>
        <w:ind w:end="-540"/>
        <w:rPr/>
      </w:pPr>
      <w:r>
        <w:rPr>
          <w:u w:val="none"/>
        </w:rPr>
        <w:t>C.</w:t>
        <w:tab/>
      </w:r>
      <w:r>
        <w:rPr/>
        <w:t>MSEB Meet and Discuss</w:t>
      </w:r>
    </w:p>
    <w:p>
      <w:pPr>
        <w:pStyle w:val="Normal"/>
        <w:ind w:start="1440" w:end="-540"/>
        <w:rPr>
          <w:sz w:val="22"/>
        </w:rPr>
      </w:pPr>
      <w:r>
        <w:rPr>
          <w:sz w:val="22"/>
        </w:rPr>
        <w:t>The first dispute resolution meeting with MSEB was held on February 13, 2001 following a letter sent by DPC to MSEB under Clause 20.2 of the PPA. The second “meet and discuss” meeting is scheduled for March 16, 2001.</w:t>
      </w:r>
    </w:p>
    <w:p>
      <w:pPr>
        <w:pStyle w:val="Normal"/>
        <w:ind w:start="1440" w:end="-540"/>
        <w:jc w:val="both"/>
        <w:rPr>
          <w:sz w:val="22"/>
        </w:rPr>
      </w:pPr>
      <w:r>
        <w:rPr>
          <w:sz w:val="22"/>
        </w:rPr>
      </w:r>
    </w:p>
    <w:p>
      <w:pPr>
        <w:pStyle w:val="Normal"/>
        <w:ind w:firstLine="720" w:end="-540"/>
        <w:jc w:val="both"/>
        <w:rPr/>
      </w:pPr>
      <w:r>
        <w:rPr>
          <w:color w:val="000000"/>
          <w:sz w:val="22"/>
          <w:lang w:eastAsia="en-US"/>
        </w:rPr>
        <w:t>D.</w:t>
        <w:tab/>
      </w:r>
      <w:r>
        <w:rPr>
          <w:color w:val="000000"/>
          <w:sz w:val="22"/>
          <w:u w:val="single"/>
          <w:lang w:eastAsia="en-US"/>
        </w:rPr>
        <w:t>Major Litigation Status</w:t>
      </w:r>
    </w:p>
    <w:p>
      <w:pPr>
        <w:pStyle w:val="Normal"/>
        <w:ind w:end="-540"/>
        <w:jc w:val="both"/>
        <w:rPr>
          <w:color w:val="000000"/>
          <w:sz w:val="22"/>
          <w:u w:val="single"/>
          <w:lang w:eastAsia="en-US"/>
        </w:rPr>
      </w:pPr>
      <w:r>
        <w:rPr>
          <w:color w:val="000000"/>
          <w:sz w:val="22"/>
          <w:u w:val="single"/>
          <w:lang w:eastAsia="en-US"/>
        </w:rPr>
      </w:r>
    </w:p>
    <w:p>
      <w:pPr>
        <w:pStyle w:val="Normal"/>
        <w:ind w:hanging="720" w:start="2160" w:end="-540"/>
        <w:rPr/>
      </w:pPr>
      <w:r>
        <w:rPr>
          <w:sz w:val="22"/>
        </w:rPr>
        <w:t>1.</w:t>
        <w:tab/>
      </w:r>
      <w:r>
        <w:rPr>
          <w:sz w:val="22"/>
          <w:u w:val="single"/>
        </w:rPr>
        <w:t>MPCB Notice</w:t>
      </w:r>
      <w:r>
        <w:rPr>
          <w:sz w:val="22"/>
        </w:rPr>
        <w:t xml:space="preserve">.  The Maharashtra Pollution Control Board has served a notice on DPC whereby they have directed DPC to stop generation of electricity forthwith until a Consent to Operate has been obtained by DPC.  DPC is currently only testing Phase II.  It is our contention that the electricity generated during the course of such testing cannot be classified as being "commercial generation of electricity" and accordingly, that such testing does not require a Consent to Operate. </w:t>
      </w:r>
    </w:p>
    <w:p>
      <w:pPr>
        <w:pStyle w:val="Normal"/>
        <w:ind w:end="-540"/>
        <w:jc w:val="both"/>
        <w:rPr>
          <w:b/>
          <w:sz w:val="22"/>
        </w:rPr>
      </w:pPr>
      <w:r>
        <w:rPr>
          <w:b/>
          <w:sz w:val="22"/>
        </w:rPr>
      </w:r>
    </w:p>
    <w:p>
      <w:pPr>
        <w:pStyle w:val="Normal"/>
        <w:ind w:hanging="720" w:start="2160" w:end="-540"/>
        <w:rPr/>
      </w:pPr>
      <w:r>
        <w:rPr>
          <w:sz w:val="22"/>
        </w:rPr>
        <w:t>2.</w:t>
        <w:tab/>
      </w:r>
      <w:r>
        <w:rPr>
          <w:sz w:val="22"/>
          <w:u w:val="single"/>
        </w:rPr>
        <w:t>PILs filed before the Nagpur Bench of the Mumbai High Court</w:t>
      </w:r>
      <w:r>
        <w:rPr>
          <w:sz w:val="22"/>
        </w:rPr>
        <w:t xml:space="preserve">.  </w:t>
      </w:r>
    </w:p>
    <w:p>
      <w:pPr>
        <w:pStyle w:val="Normal"/>
        <w:ind w:start="2160" w:end="-540"/>
        <w:rPr>
          <w:i/>
          <w:i/>
          <w:sz w:val="22"/>
          <w:u w:val="single"/>
        </w:rPr>
      </w:pPr>
      <w:r>
        <w:rPr>
          <w:i/>
          <w:sz w:val="22"/>
          <w:u w:val="single"/>
        </w:rPr>
      </w:r>
    </w:p>
    <w:p>
      <w:pPr>
        <w:pStyle w:val="Normal"/>
        <w:ind w:start="2160" w:end="-540"/>
        <w:rPr/>
      </w:pPr>
      <w:r>
        <w:rPr>
          <w:i/>
          <w:sz w:val="22"/>
          <w:u w:val="single"/>
        </w:rPr>
        <w:t>PILs against MSEB:</w:t>
      </w:r>
      <w:r>
        <w:rPr>
          <w:i/>
          <w:sz w:val="22"/>
        </w:rPr>
        <w:tab/>
      </w:r>
      <w:r>
        <w:rPr>
          <w:sz w:val="22"/>
        </w:rPr>
        <w:t xml:space="preserve">It has come to our notice from several press clippings and other sources that five Public Interest Litigations have been filed before the Nagpur Bench of the Mumbai High Court against the MSEB inter alia making certain allegations with respect to the DPC Project. We are in the process of attempting to acquire copies of the aforesaid petitions. </w:t>
      </w:r>
    </w:p>
    <w:p>
      <w:pPr>
        <w:pStyle w:val="Normal"/>
        <w:ind w:start="720" w:end="-540"/>
        <w:jc w:val="both"/>
        <w:rPr>
          <w:sz w:val="22"/>
        </w:rPr>
      </w:pPr>
      <w:r>
        <w:rPr>
          <w:sz w:val="22"/>
        </w:rPr>
      </w:r>
    </w:p>
    <w:p>
      <w:pPr>
        <w:pStyle w:val="Normal"/>
        <w:ind w:start="2160" w:end="-540"/>
        <w:rPr/>
      </w:pPr>
      <w:r>
        <w:rPr>
          <w:i/>
          <w:sz w:val="22"/>
          <w:u w:val="single"/>
        </w:rPr>
        <w:t>G.C. Singh Petition:</w:t>
      </w:r>
      <w:r>
        <w:rPr>
          <w:i/>
          <w:sz w:val="22"/>
        </w:rPr>
        <w:tab/>
      </w:r>
      <w:r>
        <w:rPr>
          <w:sz w:val="22"/>
        </w:rPr>
        <w:t xml:space="preserve">In addition to the aforesaid five petitions, another Public Interest Litigation had been filed by one Mr. G.C. Singh. We are in the process of attempting to acquire a copy of said petition. </w:t>
      </w:r>
    </w:p>
    <w:p>
      <w:pPr>
        <w:pStyle w:val="Normal"/>
        <w:keepNext w:val="true"/>
        <w:keepLines/>
        <w:ind w:end="-540"/>
        <w:rPr>
          <w:sz w:val="22"/>
        </w:rPr>
      </w:pPr>
      <w:r>
        <w:rPr>
          <w:sz w:val="22"/>
        </w:rPr>
      </w:r>
    </w:p>
    <w:p>
      <w:pPr>
        <w:pStyle w:val="Normal"/>
        <w:keepNext w:val="true"/>
        <w:keepLines/>
        <w:ind w:end="-540"/>
        <w:rPr>
          <w:b/>
          <w:sz w:val="22"/>
        </w:rPr>
      </w:pPr>
      <w:r>
        <w:rPr>
          <w:sz w:val="22"/>
        </w:rPr>
        <w:t>VII.</w:t>
        <w:tab/>
      </w:r>
      <w:r>
        <w:rPr>
          <w:b/>
          <w:sz w:val="22"/>
        </w:rPr>
        <w:t xml:space="preserve">Puerto Rico </w:t>
      </w:r>
      <w:r>
        <w:rPr>
          <w:sz w:val="22"/>
        </w:rPr>
        <w:t>(Coralina Rivera)</w:t>
      </w:r>
    </w:p>
    <w:p>
      <w:pPr>
        <w:pStyle w:val="Heading7"/>
        <w:ind w:end="-540"/>
        <w:rPr>
          <w:b/>
          <w:sz w:val="22"/>
        </w:rPr>
      </w:pPr>
      <w:r>
        <w:rPr>
          <w:b/>
          <w:sz w:val="22"/>
        </w:rPr>
      </w:r>
    </w:p>
    <w:p>
      <w:pPr>
        <w:pStyle w:val="Heading7"/>
        <w:ind w:hanging="720" w:start="1440" w:end="-540"/>
        <w:rPr/>
      </w:pPr>
      <w:r>
        <w:rPr>
          <w:sz w:val="22"/>
        </w:rPr>
        <w:t>A.</w:t>
        <w:tab/>
      </w:r>
      <w:r>
        <w:rPr>
          <w:sz w:val="22"/>
          <w:u w:val="single"/>
        </w:rPr>
        <w:t xml:space="preserve">EcoElectrica 507 MW CC LNG Plant and 160k cubic meters LNG storage tank </w:t>
      </w:r>
    </w:p>
    <w:p>
      <w:pPr>
        <w:pStyle w:val="Heading2"/>
        <w:ind w:hanging="0" w:start="0" w:end="-540"/>
        <w:rPr>
          <w:b w:val="false"/>
          <w:sz w:val="22"/>
          <w:u w:val="single"/>
        </w:rPr>
      </w:pPr>
      <w:r>
        <w:rPr>
          <w:b w:val="false"/>
          <w:sz w:val="22"/>
          <w:u w:val="single"/>
        </w:rPr>
      </w:r>
    </w:p>
    <w:p>
      <w:pPr>
        <w:pStyle w:val="Normal"/>
        <w:numPr>
          <w:ilvl w:val="0"/>
          <w:numId w:val="4"/>
        </w:numPr>
        <w:ind w:hanging="720" w:start="2160" w:end="-540"/>
        <w:rPr>
          <w:sz w:val="22"/>
        </w:rPr>
      </w:pPr>
      <w:r>
        <w:rPr>
          <w:sz w:val="22"/>
        </w:rPr>
        <w:t>Siemens/Westinghouse (“SW”) warranty issues (including ramifications with lenders and underwriters).  -  Adjusters have offered $18MM out of $24.6MM (BI and BAR-net) of insurance claims currently pending.</w:t>
      </w:r>
    </w:p>
    <w:p>
      <w:pPr>
        <w:pStyle w:val="Normal"/>
        <w:ind w:end="-540"/>
        <w:rPr>
          <w:sz w:val="22"/>
        </w:rPr>
      </w:pPr>
      <w:r>
        <w:rPr>
          <w:sz w:val="22"/>
        </w:rPr>
      </w:r>
    </w:p>
    <w:p>
      <w:pPr>
        <w:pStyle w:val="Normal"/>
        <w:numPr>
          <w:ilvl w:val="0"/>
          <w:numId w:val="4"/>
        </w:numPr>
        <w:ind w:hanging="720" w:start="2160" w:end="-540"/>
        <w:rPr>
          <w:sz w:val="22"/>
        </w:rPr>
      </w:pPr>
      <w:r>
        <w:rPr>
          <w:sz w:val="22"/>
        </w:rPr>
        <w:t>PREPA (buyer under the PPA) payment issues – At a meeting with PREPA on 2/23,  PREPA advised that it no longer is agreeable to resolve interpretation of the NYMEX adjustment factor issue by arbitration but by negotiation.  To date, PREPA has withheld $3.5 MM.</w:t>
      </w:r>
    </w:p>
    <w:p>
      <w:pPr>
        <w:pStyle w:val="Normal"/>
        <w:ind w:end="-540"/>
        <w:rPr>
          <w:sz w:val="22"/>
        </w:rPr>
      </w:pPr>
      <w:r>
        <w:rPr>
          <w:sz w:val="22"/>
        </w:rPr>
      </w:r>
    </w:p>
    <w:p>
      <w:pPr>
        <w:pStyle w:val="Normal"/>
        <w:numPr>
          <w:ilvl w:val="0"/>
          <w:numId w:val="4"/>
        </w:numPr>
        <w:ind w:hanging="720" w:start="2160" w:end="-540"/>
        <w:rPr>
          <w:sz w:val="22"/>
        </w:rPr>
      </w:pPr>
      <w:r>
        <w:rPr>
          <w:sz w:val="22"/>
        </w:rPr>
        <w:t xml:space="preserve">Retainage provisions with Contractor\EECC- Settlement agreement on hold.  </w:t>
      </w:r>
    </w:p>
    <w:p>
      <w:pPr>
        <w:pStyle w:val="Normal"/>
        <w:ind w:end="-540"/>
        <w:rPr>
          <w:sz w:val="22"/>
        </w:rPr>
      </w:pPr>
      <w:r>
        <w:rPr>
          <w:sz w:val="22"/>
        </w:rPr>
      </w:r>
    </w:p>
    <w:p>
      <w:pPr>
        <w:pStyle w:val="Normal"/>
        <w:numPr>
          <w:ilvl w:val="0"/>
          <w:numId w:val="4"/>
        </w:numPr>
        <w:ind w:hanging="720" w:start="2160" w:end="-540"/>
        <w:rPr>
          <w:sz w:val="22"/>
        </w:rPr>
      </w:pPr>
      <w:r>
        <w:rPr>
          <w:sz w:val="22"/>
        </w:rPr>
        <w:t xml:space="preserve">NLRB – Third meeting with United Steelworkers (certified in 12/00) scheduled for 3/29/01.  Union has not yet presented a complete written proposal. </w:t>
      </w:r>
    </w:p>
    <w:p>
      <w:pPr>
        <w:pStyle w:val="Normal"/>
        <w:ind w:end="-540"/>
        <w:rPr>
          <w:sz w:val="22"/>
        </w:rPr>
      </w:pPr>
      <w:r>
        <w:rPr>
          <w:sz w:val="22"/>
        </w:rPr>
      </w:r>
    </w:p>
    <w:p>
      <w:pPr>
        <w:pStyle w:val="Normal"/>
        <w:ind w:hanging="720" w:start="2160" w:end="-540"/>
        <w:rPr>
          <w:sz w:val="22"/>
        </w:rPr>
      </w:pPr>
      <w:r>
        <w:rPr>
          <w:sz w:val="22"/>
        </w:rPr>
        <w:t>5.</w:t>
        <w:tab/>
        <w:t>Retail LNG project by Enron LNG Power (Atlantic) – Development based on the Tolling Service Agreement of Eco Electrica, in progress.  Price analysis prepared.  Analyzing possibility of buying LNG directly from Eco (surplus) rather than from Cabot (Eco’s direct supplier).  Legal needs to check Lenders constraints regarding related parties transactions.</w:t>
      </w:r>
    </w:p>
    <w:p>
      <w:pPr>
        <w:pStyle w:val="Normal"/>
        <w:ind w:end="-540"/>
        <w:rPr>
          <w:sz w:val="22"/>
        </w:rPr>
      </w:pPr>
      <w:r>
        <w:rPr>
          <w:sz w:val="22"/>
        </w:rPr>
      </w:r>
    </w:p>
    <w:p>
      <w:pPr>
        <w:pStyle w:val="Normal"/>
        <w:ind w:firstLine="720" w:end="-540"/>
        <w:rPr>
          <w:sz w:val="22"/>
        </w:rPr>
      </w:pPr>
      <w:r>
        <w:rPr>
          <w:sz w:val="22"/>
        </w:rPr>
        <w:t>B.</w:t>
        <w:tab/>
        <w:t>ProCaribe:</w:t>
      </w:r>
    </w:p>
    <w:p>
      <w:pPr>
        <w:pStyle w:val="Normal"/>
        <w:ind w:firstLine="720" w:end="-540"/>
        <w:rPr>
          <w:sz w:val="22"/>
        </w:rPr>
      </w:pPr>
      <w:r>
        <w:rPr>
          <w:sz w:val="22"/>
        </w:rPr>
      </w:r>
    </w:p>
    <w:p>
      <w:pPr>
        <w:pStyle w:val="Normal"/>
        <w:ind w:start="720" w:end="-540"/>
        <w:rPr>
          <w:sz w:val="22"/>
        </w:rPr>
      </w:pPr>
      <w:r>
        <w:rPr>
          <w:sz w:val="22"/>
        </w:rPr>
        <w:t xml:space="preserve">Propane storage terminal (22,000 TS) </w:t>
      </w:r>
    </w:p>
    <w:p>
      <w:pPr>
        <w:pStyle w:val="Normal"/>
        <w:ind w:start="720" w:end="-540"/>
        <w:rPr>
          <w:sz w:val="22"/>
        </w:rPr>
      </w:pPr>
      <w:r>
        <w:rPr>
          <w:sz w:val="22"/>
        </w:rPr>
        <w:t>No significant legal issues.</w:t>
      </w:r>
    </w:p>
    <w:p>
      <w:pPr>
        <w:pStyle w:val="Normal"/>
        <w:ind w:start="720" w:end="-540"/>
        <w:rPr>
          <w:sz w:val="22"/>
        </w:rPr>
      </w:pPr>
      <w:r>
        <w:rPr>
          <w:sz w:val="22"/>
        </w:rPr>
      </w:r>
    </w:p>
    <w:p>
      <w:pPr>
        <w:pStyle w:val="Normal"/>
        <w:ind w:firstLine="720" w:end="-540"/>
        <w:rPr>
          <w:sz w:val="22"/>
        </w:rPr>
      </w:pPr>
      <w:r>
        <w:rPr>
          <w:sz w:val="22"/>
        </w:rPr>
        <w:t>C.</w:t>
        <w:tab/>
        <w:t>Progasco:</w:t>
      </w:r>
    </w:p>
    <w:p>
      <w:pPr>
        <w:pStyle w:val="Normal"/>
        <w:ind w:firstLine="720" w:end="-540"/>
        <w:rPr>
          <w:sz w:val="22"/>
          <w:u w:val="single"/>
        </w:rPr>
      </w:pPr>
      <w:r>
        <w:rPr>
          <w:sz w:val="22"/>
          <w:u w:val="single"/>
        </w:rPr>
        <w:t>LPG distribution.</w:t>
      </w:r>
    </w:p>
    <w:p>
      <w:pPr>
        <w:pStyle w:val="Normal"/>
        <w:ind w:firstLine="720" w:end="-540"/>
        <w:rPr>
          <w:sz w:val="22"/>
          <w:u w:val="single"/>
        </w:rPr>
      </w:pPr>
      <w:r>
        <w:rPr>
          <w:sz w:val="22"/>
          <w:u w:val="single"/>
        </w:rPr>
      </w:r>
    </w:p>
    <w:p>
      <w:pPr>
        <w:pStyle w:val="Normal"/>
        <w:numPr>
          <w:ilvl w:val="0"/>
          <w:numId w:val="11"/>
        </w:numPr>
        <w:ind w:hanging="720" w:start="2160" w:end="-540"/>
        <w:rPr>
          <w:sz w:val="22"/>
        </w:rPr>
      </w:pPr>
      <w:r>
        <w:rPr>
          <w:sz w:val="22"/>
        </w:rPr>
        <w:t>Sale of business - (Buyer - Tropigas, a local competitor).  ($14.4MM+ 10% non-voting interest in Buyer’s new entity).  Purchase and Sale Agreement expected to be signed week of 3/19/01 and closing by end of 1</w:t>
      </w:r>
      <w:r>
        <w:rPr>
          <w:sz w:val="22"/>
          <w:vertAlign w:val="superscript"/>
        </w:rPr>
        <w:t>st</w:t>
      </w:r>
      <w:r>
        <w:rPr>
          <w:sz w:val="22"/>
        </w:rPr>
        <w:t xml:space="preserve"> Quarter.  Progasco is an EGM company but its stockholder and seller (the Protane Corp.) is an EGA company.  Both EGA and EGM will have to approve this transaction.</w:t>
      </w:r>
    </w:p>
    <w:p>
      <w:pPr>
        <w:pStyle w:val="Normal"/>
        <w:ind w:end="-540"/>
        <w:rPr>
          <w:sz w:val="22"/>
        </w:rPr>
      </w:pPr>
      <w:r>
        <w:rPr>
          <w:sz w:val="22"/>
        </w:rPr>
      </w:r>
    </w:p>
    <w:p>
      <w:pPr>
        <w:pStyle w:val="Normal"/>
        <w:ind w:start="2160" w:end="-540"/>
        <w:rPr>
          <w:sz w:val="22"/>
        </w:rPr>
      </w:pPr>
      <w:r>
        <w:rPr>
          <w:sz w:val="22"/>
        </w:rPr>
        <w:t xml:space="preserve">Required prior notices to the Labor Union and the PSC (regulatory agency) to be provided by 3/16, subject to the receipt of a $300,000 “good faith deposit” from buyer.  Company is not in compliance with PR – EQB permitting requirements; working on identifying/quantifying exposure and  remediation plan.    </w:t>
      </w:r>
    </w:p>
    <w:p>
      <w:pPr>
        <w:pStyle w:val="BodyTextIndent3"/>
        <w:ind w:end="-540"/>
        <w:rPr>
          <w:sz w:val="22"/>
        </w:rPr>
      </w:pPr>
      <w:r>
        <w:rPr>
          <w:sz w:val="22"/>
        </w:rPr>
      </w:r>
    </w:p>
    <w:p>
      <w:pPr>
        <w:pStyle w:val="Normal"/>
        <w:ind w:firstLine="720" w:end="-540"/>
        <w:rPr>
          <w:sz w:val="22"/>
        </w:rPr>
      </w:pPr>
      <w:r>
        <w:rPr>
          <w:sz w:val="22"/>
        </w:rPr>
        <w:tab/>
        <w:t>2.</w:t>
        <w:tab/>
        <w:t>Union – ongoing negotiations with Union; next meeting 3/14/01.</w:t>
      </w:r>
    </w:p>
    <w:p>
      <w:pPr>
        <w:pStyle w:val="BodyText"/>
        <w:tabs>
          <w:tab w:val="left" w:pos="720" w:leader="none"/>
        </w:tabs>
        <w:ind w:end="-540"/>
        <w:rPr>
          <w:sz w:val="22"/>
        </w:rPr>
      </w:pPr>
      <w:r>
        <w:rPr>
          <w:sz w:val="22"/>
        </w:rPr>
      </w:r>
    </w:p>
    <w:p>
      <w:pPr>
        <w:pStyle w:val="Heading1"/>
        <w:numPr>
          <w:ilvl w:val="0"/>
          <w:numId w:val="12"/>
        </w:numPr>
        <w:ind w:hanging="720" w:start="720" w:end="-540"/>
        <w:rPr>
          <w:sz w:val="22"/>
        </w:rPr>
      </w:pPr>
      <w:r>
        <w:rPr>
          <w:b/>
          <w:sz w:val="22"/>
        </w:rPr>
        <w:t>Nicaragua</w:t>
      </w:r>
      <w:r>
        <w:rPr>
          <w:sz w:val="22"/>
        </w:rPr>
        <w:t xml:space="preserve"> (Francisco Pinto-Leite)</w:t>
      </w:r>
    </w:p>
    <w:p>
      <w:pPr>
        <w:pStyle w:val="Heading8"/>
        <w:ind w:end="-540"/>
        <w:rPr>
          <w:sz w:val="22"/>
        </w:rPr>
      </w:pPr>
      <w:r>
        <w:rPr>
          <w:sz w:val="22"/>
        </w:rPr>
        <w:t>Corinto 70MW Barge-mounted Plant</w:t>
      </w:r>
    </w:p>
    <w:p>
      <w:pPr>
        <w:pStyle w:val="Normal"/>
        <w:ind w:start="720" w:end="-540"/>
        <w:rPr>
          <w:sz w:val="22"/>
        </w:rPr>
      </w:pPr>
      <w:r>
        <w:rPr>
          <w:sz w:val="22"/>
        </w:rPr>
      </w:r>
    </w:p>
    <w:p>
      <w:pPr>
        <w:pStyle w:val="Normal"/>
        <w:ind w:start="720" w:end="-540"/>
        <w:rPr>
          <w:sz w:val="22"/>
        </w:rPr>
      </w:pPr>
      <w:r>
        <w:rPr>
          <w:sz w:val="22"/>
        </w:rPr>
        <w:t>No significant legal issues.</w:t>
      </w:r>
    </w:p>
    <w:p>
      <w:pPr>
        <w:pStyle w:val="Heading1"/>
        <w:ind w:hanging="0" w:start="0" w:end="-540"/>
        <w:rPr>
          <w:sz w:val="22"/>
        </w:rPr>
      </w:pPr>
      <w:r>
        <w:rPr>
          <w:sz w:val="22"/>
        </w:rPr>
      </w:r>
    </w:p>
    <w:p>
      <w:pPr>
        <w:pStyle w:val="Heading1"/>
        <w:ind w:hanging="0" w:start="0" w:end="-540"/>
        <w:rPr/>
      </w:pPr>
      <w:r>
        <w:rPr>
          <w:sz w:val="22"/>
        </w:rPr>
        <w:t>IX.</w:t>
        <w:tab/>
      </w:r>
      <w:r>
        <w:rPr>
          <w:b/>
          <w:sz w:val="22"/>
        </w:rPr>
        <w:t xml:space="preserve">Guatemala </w:t>
      </w:r>
      <w:r>
        <w:rPr>
          <w:sz w:val="22"/>
        </w:rPr>
        <w:t>(Francisco Pinto-Leite)</w:t>
      </w:r>
    </w:p>
    <w:p>
      <w:pPr>
        <w:pStyle w:val="Heading1"/>
        <w:ind w:firstLine="720" w:start="0" w:end="-540"/>
        <w:rPr>
          <w:sz w:val="22"/>
          <w:u w:val="single"/>
        </w:rPr>
      </w:pPr>
      <w:r>
        <w:rPr>
          <w:sz w:val="22"/>
          <w:u w:val="single"/>
        </w:rPr>
        <w:t>PQPLLC 234MW Barge-mounted Plant</w:t>
      </w:r>
    </w:p>
    <w:p>
      <w:pPr>
        <w:pStyle w:val="Normal"/>
        <w:ind w:end="-540"/>
        <w:jc w:val="center"/>
        <w:rPr>
          <w:sz w:val="22"/>
          <w:u w:val="single"/>
        </w:rPr>
      </w:pPr>
      <w:r>
        <w:rPr>
          <w:sz w:val="22"/>
          <w:u w:val="single"/>
        </w:rPr>
      </w:r>
    </w:p>
    <w:p>
      <w:pPr>
        <w:pStyle w:val="Normal"/>
        <w:numPr>
          <w:ilvl w:val="0"/>
          <w:numId w:val="6"/>
        </w:numPr>
        <w:ind w:hanging="720" w:start="1440" w:end="-540"/>
        <w:rPr>
          <w:sz w:val="22"/>
        </w:rPr>
      </w:pPr>
      <w:r>
        <w:rPr>
          <w:sz w:val="22"/>
        </w:rPr>
        <w:t>Documentation is being drafted and discussions have been initiated to recover amounts deposited in Debt Service Reserve Account and to distribute same to Enron ($10MM).</w:t>
      </w:r>
    </w:p>
    <w:p>
      <w:pPr>
        <w:pStyle w:val="Normal"/>
        <w:ind w:end="-540"/>
        <w:rPr>
          <w:sz w:val="22"/>
        </w:rPr>
      </w:pPr>
      <w:r>
        <w:rPr>
          <w:sz w:val="22"/>
        </w:rPr>
      </w:r>
    </w:p>
    <w:p>
      <w:pPr>
        <w:pStyle w:val="Normal"/>
        <w:numPr>
          <w:ilvl w:val="0"/>
          <w:numId w:val="6"/>
        </w:numPr>
        <w:ind w:hanging="720" w:start="1440" w:end="-540"/>
        <w:rPr>
          <w:sz w:val="22"/>
        </w:rPr>
      </w:pPr>
      <w:r>
        <w:rPr>
          <w:sz w:val="22"/>
        </w:rPr>
        <w:t>Ongoing discussion with construction company (MAN) regarding reimbursement for direct damages and lost profits due to equipment failure.</w:t>
      </w:r>
    </w:p>
    <w:p>
      <w:pPr>
        <w:pStyle w:val="Normal"/>
        <w:ind w:end="-540"/>
        <w:rPr>
          <w:sz w:val="22"/>
        </w:rPr>
      </w:pPr>
      <w:r>
        <w:rPr>
          <w:sz w:val="22"/>
        </w:rPr>
      </w:r>
    </w:p>
    <w:p>
      <w:pPr>
        <w:pStyle w:val="Normal"/>
        <w:ind w:hanging="720" w:start="1440" w:end="-540"/>
        <w:rPr>
          <w:sz w:val="22"/>
        </w:rPr>
      </w:pPr>
      <w:r>
        <w:rPr>
          <w:sz w:val="22"/>
        </w:rPr>
        <w:t>C.</w:t>
        <w:tab/>
        <w:t>The project is challenging Guatemala’s export restriction to El Salvador (El Salvador absorbs a significant portion of the merchant capacity).</w:t>
      </w:r>
    </w:p>
    <w:p>
      <w:pPr>
        <w:pStyle w:val="Normal"/>
        <w:keepNext w:val="true"/>
        <w:keepLines/>
        <w:ind w:end="-540"/>
        <w:rPr>
          <w:sz w:val="22"/>
        </w:rPr>
      </w:pPr>
      <w:r>
        <w:rPr>
          <w:sz w:val="22"/>
        </w:rPr>
      </w:r>
    </w:p>
    <w:p>
      <w:pPr>
        <w:pStyle w:val="Heading1"/>
        <w:keepLines/>
        <w:ind w:hanging="0" w:start="0" w:end="-540"/>
        <w:rPr/>
      </w:pPr>
      <w:r>
        <w:rPr>
          <w:sz w:val="22"/>
        </w:rPr>
        <w:t>X.</w:t>
        <w:tab/>
      </w:r>
      <w:r>
        <w:rPr>
          <w:b/>
          <w:sz w:val="22"/>
        </w:rPr>
        <w:t>Panama</w:t>
      </w:r>
      <w:r>
        <w:rPr>
          <w:sz w:val="22"/>
        </w:rPr>
        <w:t xml:space="preserve"> (Francisco Pinto-Leite)</w:t>
      </w:r>
    </w:p>
    <w:p>
      <w:pPr>
        <w:pStyle w:val="Normal"/>
        <w:keepNext w:val="true"/>
        <w:keepLines/>
        <w:ind w:firstLine="720" w:end="-540"/>
        <w:rPr>
          <w:sz w:val="22"/>
          <w:u w:val="single"/>
        </w:rPr>
      </w:pPr>
      <w:r>
        <w:rPr>
          <w:sz w:val="22"/>
          <w:u w:val="single"/>
        </w:rPr>
        <w:t>Combined cycle 330 MW power plant.</w:t>
      </w:r>
    </w:p>
    <w:p>
      <w:pPr>
        <w:pStyle w:val="Normal"/>
        <w:keepNext w:val="true"/>
        <w:keepLines/>
        <w:ind w:end="-540"/>
        <w:rPr>
          <w:sz w:val="22"/>
          <w:u w:val="single"/>
        </w:rPr>
      </w:pPr>
      <w:r>
        <w:rPr>
          <w:sz w:val="22"/>
          <w:u w:val="single"/>
        </w:rPr>
      </w:r>
    </w:p>
    <w:p>
      <w:pPr>
        <w:pStyle w:val="Normal"/>
        <w:keepNext w:val="true"/>
        <w:keepLines/>
        <w:ind w:start="720" w:end="-540"/>
        <w:rPr>
          <w:sz w:val="22"/>
        </w:rPr>
      </w:pPr>
      <w:r>
        <w:rPr>
          <w:sz w:val="22"/>
        </w:rPr>
        <w:t>The project has commenced legal action challenging resolutions by the regulator that directly impacted the PPA’s. An all-inclusive settlement is being negotiated with the government.  Parties are still apart on a number of issues.</w:t>
      </w:r>
    </w:p>
    <w:p>
      <w:pPr>
        <w:pStyle w:val="Normal"/>
        <w:ind w:start="720" w:end="-540"/>
        <w:rPr>
          <w:sz w:val="22"/>
        </w:rPr>
      </w:pPr>
      <w:r>
        <w:rPr>
          <w:sz w:val="22"/>
        </w:rPr>
      </w:r>
    </w:p>
    <w:p>
      <w:pPr>
        <w:pStyle w:val="Normal"/>
        <w:ind w:start="720" w:end="-540"/>
        <w:rPr>
          <w:sz w:val="22"/>
        </w:rPr>
      </w:pPr>
      <w:r>
        <w:rPr>
          <w:sz w:val="22"/>
        </w:rPr>
        <w:t>Three (3) insurance claims related to damages to Unit #6 from lightning on December 31, 2000 have been filed.  Dispute with insurance broker is possible.</w:t>
      </w:r>
    </w:p>
    <w:p>
      <w:pPr>
        <w:pStyle w:val="Normal"/>
        <w:ind w:start="360" w:end="-540"/>
        <w:rPr>
          <w:sz w:val="22"/>
        </w:rPr>
      </w:pPr>
      <w:r>
        <w:rPr>
          <w:sz w:val="22"/>
        </w:rPr>
      </w:r>
    </w:p>
    <w:p>
      <w:pPr>
        <w:pStyle w:val="Heading5"/>
        <w:ind w:hanging="0" w:start="0" w:end="-540"/>
        <w:rPr/>
      </w:pPr>
      <w:r>
        <w:rPr>
          <w:rFonts w:cs="Times New Roman" w:ascii="Times New Roman" w:hAnsi="Times New Roman"/>
          <w:b w:val="false"/>
          <w:sz w:val="22"/>
        </w:rPr>
        <w:t>XI.</w:t>
      </w:r>
      <w:r>
        <w:rPr>
          <w:rFonts w:cs="Times New Roman" w:ascii="Times New Roman" w:hAnsi="Times New Roman"/>
          <w:sz w:val="22"/>
        </w:rPr>
        <w:tab/>
        <w:t>Venezuela</w:t>
      </w:r>
      <w:r>
        <w:rPr>
          <w:rFonts w:cs="Times New Roman" w:ascii="Times New Roman" w:hAnsi="Times New Roman"/>
          <w:b w:val="false"/>
          <w:sz w:val="22"/>
        </w:rPr>
        <w:t xml:space="preserve"> (Miguel Mendoza)</w:t>
      </w:r>
    </w:p>
    <w:p>
      <w:pPr>
        <w:pStyle w:val="Normal"/>
        <w:tabs>
          <w:tab w:val="clear" w:pos="720"/>
          <w:tab w:val="left" w:pos="360" w:leader="none"/>
        </w:tabs>
        <w:ind w:end="-540"/>
        <w:rPr>
          <w:sz w:val="22"/>
        </w:rPr>
      </w:pPr>
      <w:r>
        <w:rPr>
          <w:sz w:val="22"/>
        </w:rPr>
        <w:tab/>
        <w:tab/>
        <w:t>A.</w:t>
        <w:tab/>
      </w:r>
      <w:r>
        <w:rPr>
          <w:sz w:val="22"/>
          <w:u w:val="single"/>
        </w:rPr>
        <w:t>Accro</w:t>
      </w:r>
    </w:p>
    <w:p>
      <w:pPr>
        <w:pStyle w:val="Normal"/>
        <w:numPr>
          <w:ilvl w:val="0"/>
          <w:numId w:val="5"/>
        </w:numPr>
        <w:tabs>
          <w:tab w:val="clear" w:pos="720"/>
          <w:tab w:val="left" w:pos="360" w:leader="none"/>
        </w:tabs>
        <w:ind w:hanging="720" w:start="2160" w:end="-540"/>
        <w:rPr>
          <w:sz w:val="22"/>
        </w:rPr>
      </w:pPr>
      <w:r>
        <w:rPr>
          <w:sz w:val="22"/>
        </w:rPr>
        <w:t>Early completion of Santa Barbara extraction facility.</w:t>
      </w:r>
    </w:p>
    <w:p>
      <w:pPr>
        <w:pStyle w:val="Normal"/>
        <w:numPr>
          <w:ilvl w:val="0"/>
          <w:numId w:val="8"/>
        </w:numPr>
        <w:tabs>
          <w:tab w:val="clear" w:pos="720"/>
          <w:tab w:val="left" w:pos="360" w:leader="none"/>
        </w:tabs>
        <w:ind w:hanging="720" w:start="2880" w:end="-540"/>
        <w:rPr>
          <w:sz w:val="22"/>
        </w:rPr>
      </w:pPr>
      <w:r>
        <w:rPr>
          <w:sz w:val="22"/>
        </w:rPr>
        <w:t>Amendments to BOO agreements (service contracts) and EPC contract were approved by PDVSA (Venzuela’s oil and gas company and Accro’s client) and EE&amp;CC.</w:t>
      </w:r>
    </w:p>
    <w:p>
      <w:pPr>
        <w:pStyle w:val="Normal"/>
        <w:numPr>
          <w:ilvl w:val="0"/>
          <w:numId w:val="8"/>
        </w:numPr>
        <w:tabs>
          <w:tab w:val="clear" w:pos="720"/>
          <w:tab w:val="left" w:pos="360" w:leader="none"/>
        </w:tabs>
        <w:ind w:hanging="720" w:start="2880" w:end="-540"/>
        <w:rPr>
          <w:sz w:val="22"/>
        </w:rPr>
      </w:pPr>
      <w:r>
        <w:rPr>
          <w:sz w:val="22"/>
        </w:rPr>
        <w:t>Amendments were submitted before lenders (EXIM and OPIC) for final approval.</w:t>
      </w:r>
    </w:p>
    <w:p>
      <w:pPr>
        <w:pStyle w:val="Normal"/>
        <w:tabs>
          <w:tab w:val="clear" w:pos="720"/>
          <w:tab w:val="left" w:pos="360" w:leader="none"/>
        </w:tabs>
        <w:ind w:hanging="1440" w:start="1440" w:end="-540"/>
        <w:rPr>
          <w:sz w:val="22"/>
        </w:rPr>
      </w:pPr>
      <w:r>
        <w:rPr>
          <w:sz w:val="22"/>
        </w:rPr>
      </w:r>
    </w:p>
    <w:p>
      <w:pPr>
        <w:pStyle w:val="Normal"/>
        <w:tabs>
          <w:tab w:val="clear" w:pos="720"/>
          <w:tab w:val="left" w:pos="360" w:leader="none"/>
          <w:tab w:val="left" w:pos="1440" w:leader="none"/>
        </w:tabs>
        <w:ind w:hanging="2160" w:start="2160" w:end="-540"/>
        <w:rPr>
          <w:sz w:val="22"/>
        </w:rPr>
      </w:pPr>
      <w:r>
        <w:rPr>
          <w:sz w:val="22"/>
        </w:rPr>
        <w:tab/>
        <w:tab/>
        <w:t>2.</w:t>
        <w:tab/>
        <w:t>Transcanada sale to Williams and potential acquisition by Williams of Enron’s 49.25% interest in Accro</w:t>
      </w:r>
    </w:p>
    <w:p>
      <w:pPr>
        <w:pStyle w:val="Normal"/>
        <w:tabs>
          <w:tab w:val="clear" w:pos="720"/>
          <w:tab w:val="left" w:pos="360" w:leader="none"/>
        </w:tabs>
        <w:ind w:hanging="1440" w:start="1440" w:end="-540"/>
        <w:rPr>
          <w:sz w:val="22"/>
          <w:u w:val="single"/>
        </w:rPr>
      </w:pPr>
      <w:r>
        <w:rPr>
          <w:sz w:val="22"/>
          <w:u w:val="single"/>
        </w:rPr>
      </w:r>
    </w:p>
    <w:p>
      <w:pPr>
        <w:pStyle w:val="Normal"/>
        <w:ind w:start="1440" w:end="-540"/>
        <w:rPr>
          <w:sz w:val="22"/>
        </w:rPr>
      </w:pPr>
      <w:r>
        <w:rPr>
          <w:sz w:val="22"/>
        </w:rPr>
        <w:t>Lender’s (OPIC/EXIM) counsel and internal legal department are currently reviewing documentation in connection with Transcanada sale to Williams, including assignment of project contracts. The transaction is pending lenders approval.</w:t>
      </w:r>
    </w:p>
    <w:p>
      <w:pPr>
        <w:pStyle w:val="Normal"/>
        <w:ind w:end="-540"/>
        <w:rPr>
          <w:sz w:val="22"/>
        </w:rPr>
      </w:pPr>
      <w:r>
        <w:rPr>
          <w:sz w:val="22"/>
        </w:rPr>
      </w:r>
    </w:p>
    <w:p>
      <w:pPr>
        <w:pStyle w:val="Normal"/>
        <w:numPr>
          <w:ilvl w:val="0"/>
          <w:numId w:val="13"/>
        </w:numPr>
        <w:ind w:hanging="720" w:start="1440" w:end="-540"/>
        <w:rPr>
          <w:sz w:val="22"/>
        </w:rPr>
      </w:pPr>
      <w:r>
        <w:rPr>
          <w:sz w:val="22"/>
          <w:u w:val="single"/>
        </w:rPr>
        <w:t>Bachaquero</w:t>
      </w:r>
    </w:p>
    <w:p>
      <w:pPr>
        <w:pStyle w:val="Normal"/>
        <w:ind w:end="-540"/>
        <w:rPr>
          <w:sz w:val="22"/>
        </w:rPr>
      </w:pPr>
      <w:r>
        <w:rPr>
          <w:sz w:val="22"/>
        </w:rPr>
      </w:r>
    </w:p>
    <w:p>
      <w:pPr>
        <w:pStyle w:val="Normal"/>
        <w:ind w:start="1440" w:end="-540"/>
        <w:rPr>
          <w:sz w:val="22"/>
        </w:rPr>
      </w:pPr>
      <w:r>
        <w:rPr>
          <w:sz w:val="22"/>
        </w:rPr>
        <w:t>The Enron commercial team is still discussing potential sale to our partner, Hanover.</w:t>
      </w:r>
    </w:p>
    <w:p>
      <w:pPr>
        <w:pStyle w:val="Normal"/>
        <w:ind w:end="-540"/>
        <w:rPr>
          <w:sz w:val="22"/>
        </w:rPr>
      </w:pPr>
      <w:r>
        <w:rPr>
          <w:sz w:val="22"/>
        </w:rPr>
      </w:r>
    </w:p>
    <w:p>
      <w:pPr>
        <w:pStyle w:val="Normal"/>
        <w:numPr>
          <w:ilvl w:val="0"/>
          <w:numId w:val="13"/>
        </w:numPr>
        <w:ind w:hanging="720" w:start="1440" w:end="-540"/>
        <w:rPr>
          <w:sz w:val="22"/>
        </w:rPr>
      </w:pPr>
      <w:r>
        <w:rPr>
          <w:sz w:val="22"/>
          <w:u w:val="single"/>
        </w:rPr>
        <w:t>Calife</w:t>
      </w:r>
    </w:p>
    <w:p>
      <w:pPr>
        <w:pStyle w:val="Normal"/>
        <w:ind w:end="-540"/>
        <w:rPr>
          <w:sz w:val="22"/>
        </w:rPr>
      </w:pPr>
      <w:r>
        <w:rPr>
          <w:sz w:val="22"/>
        </w:rPr>
      </w:r>
    </w:p>
    <w:p>
      <w:pPr>
        <w:pStyle w:val="Normal"/>
        <w:ind w:start="1440" w:end="-540"/>
        <w:rPr>
          <w:sz w:val="22"/>
        </w:rPr>
      </w:pPr>
      <w:r>
        <w:rPr>
          <w:sz w:val="22"/>
        </w:rPr>
        <w:t>We reviewed and prepared comments to first draft of lease agreement presented by Cadafe.  New structure is currently being discussed with CADAFE.  Moran substation will undergo expansion to allow CALIFE to purchase electricity at 115 KV instead of 13.8 and save transportation charge.</w:t>
      </w:r>
    </w:p>
    <w:p>
      <w:pPr>
        <w:pStyle w:val="Normal"/>
        <w:ind w:end="-540"/>
        <w:rPr>
          <w:sz w:val="22"/>
        </w:rPr>
      </w:pPr>
      <w:r>
        <w:rPr>
          <w:sz w:val="22"/>
        </w:rPr>
      </w:r>
      <w:r>
        <w:br w:type="page"/>
      </w:r>
    </w:p>
    <w:p>
      <w:pPr>
        <w:pStyle w:val="Normal"/>
        <w:ind w:end="-540"/>
        <w:rPr/>
      </w:pPr>
      <w:r>
        <w:rPr>
          <w:sz w:val="22"/>
        </w:rPr>
        <w:t>XII.</w:t>
        <w:tab/>
      </w:r>
      <w:r>
        <w:rPr>
          <w:b/>
          <w:sz w:val="22"/>
        </w:rPr>
        <w:t>Colombia</w:t>
      </w:r>
      <w:r>
        <w:rPr>
          <w:sz w:val="22"/>
        </w:rPr>
        <w:t xml:space="preserve"> (Francisco Pinto Leite)</w:t>
      </w:r>
    </w:p>
    <w:p>
      <w:pPr>
        <w:pStyle w:val="Heading8"/>
        <w:ind w:end="-540"/>
        <w:rPr>
          <w:sz w:val="22"/>
        </w:rPr>
      </w:pPr>
      <w:r>
        <w:rPr>
          <w:sz w:val="22"/>
        </w:rPr>
        <w:t>Centragas</w:t>
      </w:r>
    </w:p>
    <w:p>
      <w:pPr>
        <w:pStyle w:val="Normal"/>
        <w:ind w:end="-540"/>
        <w:rPr>
          <w:sz w:val="22"/>
        </w:rPr>
      </w:pPr>
      <w:r>
        <w:rPr>
          <w:sz w:val="22"/>
        </w:rPr>
      </w:r>
    </w:p>
    <w:p>
      <w:pPr>
        <w:pStyle w:val="Normal"/>
        <w:numPr>
          <w:ilvl w:val="0"/>
          <w:numId w:val="2"/>
        </w:numPr>
        <w:ind w:hanging="720" w:start="1440" w:end="-540"/>
        <w:rPr>
          <w:sz w:val="22"/>
        </w:rPr>
      </w:pPr>
      <w:r>
        <w:rPr>
          <w:sz w:val="22"/>
          <w:u w:val="single"/>
        </w:rPr>
        <w:t>Tax Litigation</w:t>
      </w:r>
    </w:p>
    <w:p>
      <w:pPr>
        <w:pStyle w:val="Normal"/>
        <w:ind w:end="-540"/>
        <w:rPr>
          <w:sz w:val="22"/>
        </w:rPr>
      </w:pPr>
      <w:r>
        <w:rPr>
          <w:sz w:val="22"/>
        </w:rPr>
      </w:r>
    </w:p>
    <w:p>
      <w:pPr>
        <w:pStyle w:val="Normal"/>
        <w:ind w:start="1440" w:end="-540"/>
        <w:rPr>
          <w:sz w:val="22"/>
        </w:rPr>
      </w:pPr>
      <w:r>
        <w:rPr>
          <w:sz w:val="22"/>
        </w:rPr>
        <w:t>The project filed exemptions against DIAN’s (Colombian IRS) request for mandatory payment.</w:t>
      </w:r>
    </w:p>
    <w:p>
      <w:pPr>
        <w:pStyle w:val="Normal"/>
        <w:ind w:end="-540"/>
        <w:rPr>
          <w:sz w:val="22"/>
        </w:rPr>
      </w:pPr>
      <w:r>
        <w:rPr>
          <w:sz w:val="22"/>
        </w:rPr>
      </w:r>
    </w:p>
    <w:p>
      <w:pPr>
        <w:pStyle w:val="Normal"/>
        <w:ind w:start="1440" w:end="-540"/>
        <w:rPr>
          <w:sz w:val="22"/>
        </w:rPr>
      </w:pPr>
      <w:r>
        <w:rPr>
          <w:sz w:val="22"/>
        </w:rPr>
        <w:t>Centragas met with DIAN officials to discuss potential settlement of tax claim.  New tax law authorizes DIAN to settle tax claims for 75% of total amount in controversy and without interest as an incentive for taxpayers to settle tax disputes.  The EGA commercial team is analyzing a potential settlement offer to DIAN.  Early settlement will save substantial cost in legal fees and litigation related expenses.</w:t>
      </w:r>
    </w:p>
    <w:p>
      <w:pPr>
        <w:pStyle w:val="Normal"/>
        <w:ind w:end="-540"/>
        <w:rPr>
          <w:sz w:val="22"/>
        </w:rPr>
      </w:pPr>
      <w:r>
        <w:rPr>
          <w:sz w:val="22"/>
        </w:rPr>
      </w:r>
    </w:p>
    <w:p>
      <w:pPr>
        <w:pStyle w:val="Normal"/>
        <w:numPr>
          <w:ilvl w:val="0"/>
          <w:numId w:val="2"/>
        </w:numPr>
        <w:ind w:hanging="720" w:start="1440" w:end="-540"/>
        <w:rPr>
          <w:sz w:val="22"/>
        </w:rPr>
      </w:pPr>
      <w:r>
        <w:rPr>
          <w:sz w:val="22"/>
          <w:u w:val="single"/>
        </w:rPr>
        <w:t>Potential sell down of Enron’s equity interest in Centragas</w:t>
      </w:r>
    </w:p>
    <w:p>
      <w:pPr>
        <w:pStyle w:val="Normal"/>
        <w:ind w:end="-540"/>
        <w:rPr>
          <w:sz w:val="22"/>
        </w:rPr>
      </w:pPr>
      <w:r>
        <w:rPr>
          <w:sz w:val="22"/>
        </w:rPr>
      </w:r>
    </w:p>
    <w:p>
      <w:pPr>
        <w:pStyle w:val="Normal"/>
        <w:ind w:start="1440" w:end="-540"/>
        <w:rPr>
          <w:sz w:val="22"/>
        </w:rPr>
      </w:pPr>
      <w:r>
        <w:rPr>
          <w:sz w:val="22"/>
        </w:rPr>
        <w:t>A Confidentiality Agreement was signed with Corfivalle (Colombian investment bank).  We are preparing for Corfivalle initial due diligence.</w:t>
      </w:r>
    </w:p>
    <w:p>
      <w:pPr>
        <w:pStyle w:val="Normal"/>
        <w:ind w:start="1440" w:end="-540"/>
        <w:rPr>
          <w:sz w:val="22"/>
        </w:rPr>
      </w:pPr>
      <w:r>
        <w:rPr>
          <w:sz w:val="22"/>
        </w:rPr>
      </w:r>
    </w:p>
    <w:p>
      <w:pPr>
        <w:pStyle w:val="Normal"/>
        <w:numPr>
          <w:ilvl w:val="0"/>
          <w:numId w:val="2"/>
        </w:numPr>
        <w:ind w:hanging="720" w:start="1440" w:end="-540"/>
        <w:rPr>
          <w:sz w:val="22"/>
        </w:rPr>
      </w:pPr>
      <w:r>
        <w:rPr>
          <w:sz w:val="22"/>
          <w:u w:val="single"/>
        </w:rPr>
        <w:t>Negotiation of Agreement for Tariff Adjustment with Ecogas</w:t>
      </w:r>
    </w:p>
    <w:p>
      <w:pPr>
        <w:pStyle w:val="Normal"/>
        <w:ind w:end="-540"/>
        <w:rPr>
          <w:sz w:val="22"/>
        </w:rPr>
      </w:pPr>
      <w:r>
        <w:rPr>
          <w:sz w:val="22"/>
        </w:rPr>
      </w:r>
    </w:p>
    <w:p>
      <w:pPr>
        <w:pStyle w:val="Normal"/>
        <w:ind w:start="1440" w:end="-540"/>
        <w:rPr>
          <w:sz w:val="22"/>
        </w:rPr>
      </w:pPr>
      <w:r>
        <w:rPr>
          <w:sz w:val="22"/>
        </w:rPr>
        <w:t>An agreement is being negotiated to recover from Ecogas certain increased amounts resulting from a change in tax law.  If these negotiations fail, Centragas may have to initiate arbitration proceedings against Ecogas.</w:t>
      </w:r>
    </w:p>
    <w:p>
      <w:pPr>
        <w:pStyle w:val="Normal"/>
        <w:ind w:end="-540"/>
        <w:rPr>
          <w:sz w:val="22"/>
        </w:rPr>
      </w:pPr>
      <w:r>
        <w:rPr>
          <w:sz w:val="22"/>
        </w:rPr>
      </w:r>
    </w:p>
    <w:p>
      <w:pPr>
        <w:pStyle w:val="Normal"/>
        <w:ind w:end="-540"/>
        <w:rPr/>
      </w:pPr>
      <w:r>
        <w:rPr>
          <w:color w:val="000000"/>
          <w:sz w:val="22"/>
          <w:lang w:eastAsia="en-US"/>
        </w:rPr>
        <w:t>XIII.</w:t>
        <w:tab/>
      </w:r>
      <w:r>
        <w:rPr>
          <w:b/>
          <w:color w:val="000000"/>
          <w:sz w:val="22"/>
          <w:lang w:eastAsia="en-US"/>
        </w:rPr>
        <w:t>Philippines</w:t>
      </w:r>
      <w:r>
        <w:rPr>
          <w:color w:val="000000"/>
          <w:sz w:val="22"/>
          <w:lang w:eastAsia="en-US"/>
        </w:rPr>
        <w:t xml:space="preserve"> (Angel Esguerra)</w:t>
      </w:r>
    </w:p>
    <w:p>
      <w:pPr>
        <w:pStyle w:val="Heading9"/>
        <w:numPr>
          <w:ilvl w:val="0"/>
          <w:numId w:val="9"/>
        </w:numPr>
        <w:spacing w:lineRule="auto" w:line="240"/>
        <w:ind w:hanging="720" w:start="1440" w:end="-540"/>
        <w:rPr>
          <w:sz w:val="22"/>
        </w:rPr>
      </w:pPr>
      <w:r>
        <w:rPr>
          <w:sz w:val="22"/>
        </w:rPr>
        <w:t>Bulacan Biomass Power Project</w:t>
      </w:r>
    </w:p>
    <w:p>
      <w:pPr>
        <w:pStyle w:val="Header"/>
        <w:tabs>
          <w:tab w:val="clear" w:pos="4320"/>
          <w:tab w:val="clear" w:pos="8640"/>
        </w:tabs>
        <w:ind w:end="-540"/>
        <w:rPr>
          <w:sz w:val="22"/>
        </w:rPr>
      </w:pPr>
      <w:r>
        <w:rPr>
          <w:sz w:val="22"/>
        </w:rPr>
      </w:r>
    </w:p>
    <w:p>
      <w:pPr>
        <w:pStyle w:val="Normal"/>
        <w:ind w:start="1440" w:end="-540"/>
        <w:rPr>
          <w:color w:val="000000"/>
          <w:sz w:val="22"/>
          <w:lang w:eastAsia="en-US"/>
        </w:rPr>
      </w:pPr>
      <w:r>
        <w:rPr>
          <w:color w:val="000000"/>
          <w:sz w:val="22"/>
          <w:lang w:eastAsia="en-US"/>
        </w:rPr>
        <w:t>Team members have sought internal approvals of (and conditions for) the project and continue to negotiate the financing agreements and pursue local permits and consents.</w:t>
      </w:r>
    </w:p>
    <w:p>
      <w:pPr>
        <w:pStyle w:val="Normal"/>
        <w:ind w:end="-540"/>
        <w:rPr>
          <w:color w:val="000000"/>
          <w:sz w:val="22"/>
          <w:lang w:eastAsia="en-US"/>
        </w:rPr>
      </w:pPr>
      <w:r>
        <w:rPr>
          <w:color w:val="000000"/>
          <w:sz w:val="22"/>
          <w:lang w:eastAsia="en-US"/>
        </w:rPr>
      </w:r>
    </w:p>
    <w:p>
      <w:pPr>
        <w:pStyle w:val="Normal"/>
        <w:numPr>
          <w:ilvl w:val="0"/>
          <w:numId w:val="9"/>
        </w:numPr>
        <w:ind w:hanging="720" w:start="1440" w:end="-540"/>
        <w:rPr>
          <w:color w:val="000000"/>
          <w:sz w:val="22"/>
          <w:u w:val="single"/>
          <w:lang w:eastAsia="en-US"/>
        </w:rPr>
      </w:pPr>
      <w:r>
        <w:rPr>
          <w:color w:val="000000"/>
          <w:sz w:val="22"/>
          <w:u w:val="single"/>
          <w:lang w:eastAsia="en-US"/>
        </w:rPr>
        <w:t>Batangas Power Plant</w:t>
      </w:r>
    </w:p>
    <w:p>
      <w:pPr>
        <w:pStyle w:val="Normal"/>
        <w:ind w:end="-540"/>
        <w:rPr>
          <w:color w:val="000000"/>
          <w:sz w:val="22"/>
          <w:u w:val="single"/>
          <w:lang w:eastAsia="en-US"/>
        </w:rPr>
      </w:pPr>
      <w:r>
        <w:rPr>
          <w:color w:val="000000"/>
          <w:sz w:val="22"/>
          <w:u w:val="single"/>
          <w:lang w:eastAsia="en-US"/>
        </w:rPr>
      </w:r>
    </w:p>
    <w:p>
      <w:pPr>
        <w:pStyle w:val="BodyText2"/>
        <w:spacing w:before="0" w:after="0"/>
        <w:ind w:start="1440" w:end="-540"/>
        <w:rPr>
          <w:sz w:val="22"/>
        </w:rPr>
      </w:pPr>
      <w:r>
        <w:rPr>
          <w:sz w:val="22"/>
        </w:rPr>
        <w:t>No legal updates to report.</w:t>
      </w:r>
    </w:p>
    <w:p>
      <w:pPr>
        <w:pStyle w:val="Normal"/>
        <w:ind w:end="-540"/>
        <w:rPr>
          <w:color w:val="000000"/>
          <w:sz w:val="22"/>
          <w:lang w:eastAsia="en-US"/>
        </w:rPr>
      </w:pPr>
      <w:r>
        <w:rPr>
          <w:color w:val="000000"/>
          <w:sz w:val="22"/>
          <w:lang w:eastAsia="en-US"/>
        </w:rPr>
      </w:r>
    </w:p>
    <w:p>
      <w:pPr>
        <w:pStyle w:val="Normal"/>
        <w:numPr>
          <w:ilvl w:val="0"/>
          <w:numId w:val="9"/>
        </w:numPr>
        <w:ind w:hanging="720" w:start="1440" w:end="-540"/>
        <w:rPr>
          <w:color w:val="000000"/>
          <w:sz w:val="22"/>
          <w:u w:val="single"/>
          <w:lang w:eastAsia="en-US"/>
        </w:rPr>
      </w:pPr>
      <w:r>
        <w:rPr>
          <w:color w:val="000000"/>
          <w:sz w:val="22"/>
          <w:u w:val="single"/>
          <w:lang w:eastAsia="en-US"/>
        </w:rPr>
        <w:t>Subic Power Plant</w:t>
      </w:r>
    </w:p>
    <w:p>
      <w:pPr>
        <w:pStyle w:val="Normal"/>
        <w:ind w:start="1440" w:end="-540"/>
        <w:rPr>
          <w:color w:val="000000"/>
          <w:sz w:val="22"/>
          <w:u w:val="single"/>
          <w:lang w:eastAsia="en-US"/>
        </w:rPr>
      </w:pPr>
      <w:r>
        <w:rPr>
          <w:color w:val="000000"/>
          <w:sz w:val="22"/>
          <w:u w:val="single"/>
          <w:lang w:eastAsia="en-US"/>
        </w:rPr>
      </w:r>
    </w:p>
    <w:p>
      <w:pPr>
        <w:pStyle w:val="BodyText2"/>
        <w:spacing w:before="0" w:after="0"/>
        <w:ind w:start="1440" w:end="-540"/>
        <w:rPr>
          <w:sz w:val="22"/>
        </w:rPr>
      </w:pPr>
      <w:r>
        <w:rPr>
          <w:sz w:val="22"/>
        </w:rPr>
        <w:t xml:space="preserve">External litigation counsel continue to present evidence (including testimony of internal counsel and numerous documents) in cases filed with the Philippine Court of Tax Appeals to contest tax assessments by the Philippine Bureau of Internal Revenue. </w:t>
      </w:r>
    </w:p>
    <w:p>
      <w:pPr>
        <w:pStyle w:val="BodyText2"/>
        <w:spacing w:before="0" w:after="0"/>
        <w:ind w:start="1440" w:end="-540"/>
        <w:rPr>
          <w:sz w:val="22"/>
        </w:rPr>
      </w:pPr>
      <w:r>
        <w:rPr>
          <w:sz w:val="22"/>
        </w:rPr>
      </w:r>
    </w:p>
    <w:p>
      <w:pPr>
        <w:pStyle w:val="Normal"/>
        <w:keepNext w:val="true"/>
        <w:keepLines/>
        <w:numPr>
          <w:ilvl w:val="0"/>
          <w:numId w:val="3"/>
        </w:numPr>
        <w:ind w:hanging="720" w:start="720" w:end="-540"/>
        <w:rPr>
          <w:color w:val="000000"/>
          <w:sz w:val="22"/>
          <w:lang w:eastAsia="en-US"/>
        </w:rPr>
      </w:pPr>
      <w:r>
        <w:rPr>
          <w:b/>
          <w:color w:val="000000"/>
          <w:sz w:val="22"/>
          <w:lang w:eastAsia="en-US"/>
        </w:rPr>
        <w:t>Guam</w:t>
      </w:r>
      <w:r>
        <w:rPr>
          <w:color w:val="000000"/>
          <w:sz w:val="22"/>
          <w:lang w:eastAsia="en-US"/>
        </w:rPr>
        <w:t xml:space="preserve"> (Angel Esguerra)</w:t>
      </w:r>
    </w:p>
    <w:p>
      <w:pPr>
        <w:pStyle w:val="Normal"/>
        <w:keepNext w:val="true"/>
        <w:keepLines/>
        <w:ind w:start="720" w:end="-540"/>
        <w:rPr>
          <w:color w:val="000000"/>
          <w:sz w:val="22"/>
          <w:u w:val="single"/>
          <w:lang w:eastAsia="en-US"/>
        </w:rPr>
      </w:pPr>
      <w:r>
        <w:rPr>
          <w:color w:val="000000"/>
          <w:sz w:val="22"/>
          <w:u w:val="single"/>
          <w:lang w:eastAsia="en-US"/>
        </w:rPr>
        <w:t>Piti Power Plant</w:t>
      </w:r>
    </w:p>
    <w:p>
      <w:pPr>
        <w:pStyle w:val="Normal"/>
        <w:keepNext w:val="true"/>
        <w:keepLines/>
        <w:ind w:end="-540"/>
        <w:rPr>
          <w:color w:val="000000"/>
          <w:sz w:val="22"/>
          <w:u w:val="single"/>
          <w:lang w:eastAsia="en-US"/>
        </w:rPr>
      </w:pPr>
      <w:r>
        <w:rPr>
          <w:color w:val="000000"/>
          <w:sz w:val="22"/>
          <w:u w:val="single"/>
          <w:lang w:eastAsia="en-US"/>
        </w:rPr>
      </w:r>
    </w:p>
    <w:p>
      <w:pPr>
        <w:pStyle w:val="BodyText2"/>
        <w:spacing w:before="0" w:after="0"/>
        <w:ind w:start="720" w:end="-540"/>
        <w:rPr>
          <w:sz w:val="22"/>
        </w:rPr>
      </w:pPr>
      <w:r>
        <w:rPr>
          <w:sz w:val="22"/>
        </w:rPr>
        <w:t xml:space="preserve">The term sheet for the replacement of all the cash in the debt service reserve account with a letter of credit has been prepared. </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99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Attorney-Client Privileged Communication</w:t>
    </w:r>
  </w:p>
  <w:p>
    <w:pPr>
      <w:pStyle w:val="Header"/>
      <w:jc w:val="end"/>
      <w:rPr>
        <w:b/>
      </w:rPr>
    </w:pPr>
    <w:r>
      <w:rPr>
        <w:b/>
      </w:rPr>
      <w:t>Attorney Work Product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Attorney-Client Privileged Communication</w:t>
    </w:r>
  </w:p>
  <w:p>
    <w:pPr>
      <w:pStyle w:val="Header"/>
      <w:jc w:val="end"/>
      <w:rPr>
        <w:b/>
      </w:rPr>
    </w:pPr>
    <w:r>
      <w:rPr>
        <w:b/>
      </w:rPr>
      <w:t>Attorney Work Product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440"/>
        </w:tabs>
        <w:ind w:start="1440" w:hanging="720"/>
      </w:pPr>
      <w:rPr/>
    </w:lvl>
  </w:abstractNum>
  <w:abstractNum w:abstractNumId="3">
    <w:lvl w:ilvl="0">
      <w:start w:val="14"/>
      <w:numFmt w:val="upperRoman"/>
      <w:lvlText w:val="%1."/>
      <w:lvlJc w:val="start"/>
      <w:pPr>
        <w:tabs>
          <w:tab w:val="num" w:pos="720"/>
        </w:tabs>
        <w:ind w:start="720" w:hanging="720"/>
      </w:pPr>
      <w:rPr/>
    </w:lvl>
  </w:abstractNum>
  <w:abstractNum w:abstractNumId="4">
    <w:lvl w:ilvl="0">
      <w:start w:val="1"/>
      <w:numFmt w:val="decimal"/>
      <w:lvlText w:val="%1."/>
      <w:lvlJc w:val="start"/>
      <w:pPr>
        <w:tabs>
          <w:tab w:val="num" w:pos="2160"/>
        </w:tabs>
        <w:ind w:start="2160" w:hanging="720"/>
      </w:pPr>
      <w:rPr/>
    </w:lvl>
  </w:abstractNum>
  <w:abstractNum w:abstractNumId="5">
    <w:lvl w:ilvl="0">
      <w:start w:val="1"/>
      <w:numFmt w:val="decimal"/>
      <w:lvlText w:val="%1."/>
      <w:lvlJc w:val="start"/>
      <w:pPr>
        <w:tabs>
          <w:tab w:val="num" w:pos="2160"/>
        </w:tabs>
        <w:ind w:start="2160" w:hanging="720"/>
      </w:pPr>
      <w:rPr/>
    </w:lvl>
  </w:abstractNum>
  <w:abstractNum w:abstractNumId="6">
    <w:lvl w:ilvl="0">
      <w:start w:val="1"/>
      <w:numFmt w:val="upperLetter"/>
      <w:lvlText w:val="%1."/>
      <w:lvlJc w:val="start"/>
      <w:pPr>
        <w:tabs>
          <w:tab w:val="num" w:pos="1440"/>
        </w:tabs>
        <w:ind w:start="1440" w:hanging="720"/>
      </w:pPr>
      <w:rPr/>
    </w:lvl>
  </w:abstractNum>
  <w:abstractNum w:abstractNumId="7">
    <w:lvl w:ilvl="0">
      <w:start w:val="1"/>
      <w:numFmt w:val="upperLetter"/>
      <w:lvlText w:val="%1."/>
      <w:lvlJc w:val="start"/>
      <w:pPr>
        <w:tabs>
          <w:tab w:val="num" w:pos="1440"/>
        </w:tabs>
        <w:ind w:start="1440" w:hanging="720"/>
      </w:pPr>
      <w:rPr/>
    </w:lvl>
  </w:abstractNum>
  <w:abstractNum w:abstractNumId="8">
    <w:lvl w:ilvl="0">
      <w:start w:val="1"/>
      <w:numFmt w:val="lowerLetter"/>
      <w:lvlText w:val="%1."/>
      <w:lvlJc w:val="start"/>
      <w:pPr>
        <w:tabs>
          <w:tab w:val="num" w:pos="2880"/>
        </w:tabs>
        <w:ind w:start="2880" w:hanging="720"/>
      </w:pPr>
      <w:rPr/>
    </w:lvl>
  </w:abstractNum>
  <w:abstractNum w:abstractNumId="9">
    <w:lvl w:ilvl="0">
      <w:start w:val="1"/>
      <w:numFmt w:val="upperLetter"/>
      <w:lvlText w:val="%1."/>
      <w:lvlJc w:val="start"/>
      <w:pPr>
        <w:tabs>
          <w:tab w:val="num" w:pos="1440"/>
        </w:tabs>
        <w:ind w:start="1440" w:hanging="720"/>
      </w:pPr>
      <w:rPr>
        <w:u w:val="none"/>
      </w:rPr>
    </w:lvl>
  </w:abstractNum>
  <w:abstractNum w:abstractNumId="10">
    <w:lvl w:ilvl="0">
      <w:start w:val="5"/>
      <w:numFmt w:val="upperRoman"/>
      <w:lvlText w:val="%1."/>
      <w:lvlJc w:val="start"/>
      <w:pPr>
        <w:tabs>
          <w:tab w:val="num" w:pos="720"/>
        </w:tabs>
        <w:ind w:start="720" w:hanging="720"/>
      </w:pPr>
      <w:rPr/>
    </w:lvl>
  </w:abstractNum>
  <w:abstractNum w:abstractNumId="11">
    <w:lvl w:ilvl="0">
      <w:start w:val="1"/>
      <w:numFmt w:val="decimal"/>
      <w:lvlText w:val="%1."/>
      <w:lvlJc w:val="start"/>
      <w:pPr>
        <w:tabs>
          <w:tab w:val="num" w:pos="2160"/>
        </w:tabs>
        <w:ind w:start="2160" w:hanging="720"/>
      </w:pPr>
      <w:rPr/>
    </w:lvl>
  </w:abstractNum>
  <w:abstractNum w:abstractNumId="12">
    <w:lvl w:ilvl="0">
      <w:start w:val="8"/>
      <w:numFmt w:val="upperRoman"/>
      <w:lvlText w:val="%1."/>
      <w:lvlJc w:val="start"/>
      <w:pPr>
        <w:tabs>
          <w:tab w:val="num" w:pos="720"/>
        </w:tabs>
        <w:ind w:start="720" w:hanging="720"/>
      </w:pPr>
      <w:rPr/>
    </w:lvl>
  </w:abstractNum>
  <w:abstractNum w:abstractNumId="13">
    <w:lvl w:ilvl="0">
      <w:start w:val="2"/>
      <w:numFmt w:val="upperLetter"/>
      <w:lvlText w:val="%1."/>
      <w:lvlJc w:val="start"/>
      <w:pPr>
        <w:tabs>
          <w:tab w:val="num" w:pos="1440"/>
        </w:tabs>
        <w:ind w:start="1440" w:hanging="720"/>
      </w:pPr>
      <w:rPr/>
    </w:lvl>
  </w:abstractNum>
  <w:abstractNum w:abstractNumId="14">
    <w:lvl w:ilvl="0">
      <w:start w:val="1"/>
      <w:numFmt w:val="upp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b/>
    </w:rPr>
  </w:style>
  <w:style w:type="paragraph" w:styleId="Heading3">
    <w:name w:val="heading 3"/>
    <w:basedOn w:val="Normal"/>
    <w:next w:val="Normal"/>
    <w:qFormat/>
    <w:pPr>
      <w:keepNext w:val="true"/>
      <w:numPr>
        <w:ilvl w:val="2"/>
        <w:numId w:val="1"/>
      </w:numPr>
      <w:ind w:firstLine="720" w:start="0" w:end="0"/>
      <w:outlineLvl w:val="2"/>
    </w:pPr>
    <w:rPr>
      <w:sz w:val="24"/>
      <w:u w:val="single"/>
    </w:rPr>
  </w:style>
  <w:style w:type="paragraph" w:styleId="Heading4">
    <w:name w:val="heading 4"/>
    <w:basedOn w:val="Normal"/>
    <w:next w:val="Normal"/>
    <w:qFormat/>
    <w:pPr>
      <w:keepNext w:val="true"/>
      <w:numPr>
        <w:ilvl w:val="3"/>
        <w:numId w:val="1"/>
      </w:numPr>
      <w:spacing w:lineRule="atLeast" w:line="240"/>
      <w:ind w:firstLine="720" w:start="0" w:end="0"/>
      <w:jc w:val="both"/>
      <w:outlineLvl w:val="3"/>
    </w:pPr>
    <w:rPr>
      <w:color w:val="000000"/>
      <w:sz w:val="22"/>
      <w:u w:val="single"/>
      <w:lang w:eastAsia="en-US"/>
    </w:rPr>
  </w:style>
  <w:style w:type="paragraph" w:styleId="Heading5">
    <w:name w:val="heading 5"/>
    <w:basedOn w:val="Normal"/>
    <w:next w:val="Normal"/>
    <w:qFormat/>
    <w:pPr>
      <w:keepNext w:val="true"/>
      <w:numPr>
        <w:ilvl w:val="4"/>
        <w:numId w:val="1"/>
      </w:numPr>
      <w:outlineLvl w:val="4"/>
    </w:pPr>
    <w:rPr>
      <w:rFonts w:ascii="Arial" w:hAnsi="Arial" w:cs="Arial"/>
      <w:b/>
      <w:sz w:val="24"/>
    </w:rPr>
  </w:style>
  <w:style w:type="paragraph" w:styleId="Heading6">
    <w:name w:val="heading 6"/>
    <w:basedOn w:val="Normal"/>
    <w:next w:val="Normal"/>
    <w:qFormat/>
    <w:pPr>
      <w:keepNext w:val="true"/>
      <w:numPr>
        <w:ilvl w:val="5"/>
        <w:numId w:val="1"/>
      </w:numPr>
      <w:jc w:val="both"/>
      <w:outlineLvl w:val="5"/>
    </w:pPr>
    <w:rPr>
      <w:rFonts w:ascii="Arial" w:hAnsi="Arial" w:cs="Arial"/>
      <w:b/>
      <w:sz w:val="24"/>
    </w:rPr>
  </w:style>
  <w:style w:type="paragraph" w:styleId="Heading7">
    <w:name w:val="heading 7"/>
    <w:basedOn w:val="Normal"/>
    <w:next w:val="Normal"/>
    <w:qFormat/>
    <w:pPr>
      <w:keepNext w:val="true"/>
      <w:numPr>
        <w:ilvl w:val="6"/>
        <w:numId w:val="1"/>
      </w:numPr>
      <w:ind w:firstLine="720" w:start="0" w:end="0"/>
      <w:outlineLvl w:val="6"/>
    </w:pPr>
    <w:rPr>
      <w:sz w:val="24"/>
    </w:rPr>
  </w:style>
  <w:style w:type="paragraph" w:styleId="Heading8">
    <w:name w:val="heading 8"/>
    <w:basedOn w:val="Normal"/>
    <w:next w:val="Normal"/>
    <w:qFormat/>
    <w:pPr>
      <w:keepNext w:val="true"/>
      <w:numPr>
        <w:ilvl w:val="7"/>
        <w:numId w:val="1"/>
      </w:numPr>
      <w:ind w:hanging="0" w:start="720" w:end="0"/>
      <w:outlineLvl w:val="7"/>
    </w:pPr>
    <w:rPr>
      <w:sz w:val="24"/>
      <w:u w:val="single"/>
    </w:rPr>
  </w:style>
  <w:style w:type="paragraph" w:styleId="Heading9">
    <w:name w:val="heading 9"/>
    <w:basedOn w:val="Normal"/>
    <w:next w:val="Normal"/>
    <w:qFormat/>
    <w:pPr>
      <w:keepNext w:val="true"/>
      <w:numPr>
        <w:ilvl w:val="8"/>
        <w:numId w:val="1"/>
      </w:numPr>
      <w:spacing w:lineRule="atLeast" w:line="240"/>
      <w:ind w:firstLine="720" w:start="0" w:end="0"/>
      <w:outlineLvl w:val="8"/>
    </w:pPr>
    <w:rPr>
      <w:color w:val="000000"/>
      <w:sz w:val="24"/>
      <w:u w:val="single"/>
      <w:lang w:eastAsia="en-US"/>
    </w:rPr>
  </w:style>
  <w:style w:type="character" w:styleId="WW8Num1z0">
    <w:name w:val="WW8Num1z0"/>
    <w:qFormat/>
    <w:rPr>
      <w:b/>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b w:val="false"/>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style>
  <w:style w:type="character" w:styleId="WW8Num38z0">
    <w:name w:val="WW8Num38z0"/>
    <w:qFormat/>
    <w:rPr>
      <w:u w:val="none"/>
    </w:rPr>
  </w:style>
  <w:style w:type="character" w:styleId="WW8Num39z0">
    <w:name w:val="WW8Num39z0"/>
    <w:qFormat/>
    <w:rPr>
      <w:rFonts w:ascii="Symbol" w:hAnsi="Symbol" w:cs="Symbol"/>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rFonts w:ascii="Symbol" w:hAnsi="Symbol" w:cs="Symbol"/>
    </w:rPr>
  </w:style>
  <w:style w:type="character" w:styleId="WW8Num52z0">
    <w:name w:val="WW8Num52z0"/>
    <w:qFormat/>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9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720" w:start="1440" w:end="0"/>
    </w:pPr>
    <w:rPr>
      <w:sz w:val="24"/>
    </w:rPr>
  </w:style>
  <w:style w:type="paragraph" w:styleId="BodyTextIndent3">
    <w:name w:val="Body Text Indent 3"/>
    <w:basedOn w:val="Normal"/>
    <w:qFormat/>
    <w:pPr>
      <w:ind w:firstLine="720" w:start="720" w:end="0"/>
    </w:pPr>
    <w:rPr>
      <w:sz w:val="24"/>
    </w:rPr>
  </w:style>
  <w:style w:type="paragraph" w:styleId="BodyText2">
    <w:name w:val="Body Text 2"/>
    <w:basedOn w:val="Normal"/>
    <w:qFormat/>
    <w:pPr>
      <w:spacing w:before="0" w:after="120"/>
    </w:pPr>
    <w:rPr>
      <w:color w:val="000000"/>
      <w:sz w:val="24"/>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2001-03-15T22:38:00Z</dcterms:created>
  <dc:creator>EI</dc:creator>
  <dc:description/>
  <dc:language>en-CA</dc:language>
  <cp:lastModifiedBy>Bruce D. Lundstrom</cp:lastModifiedBy>
  <cp:lastPrinted>2001-03-15T17:07:00Z</cp:lastPrinted>
  <dcterms:modified xsi:type="dcterms:W3CDTF">2001-03-15T23:18:00Z</dcterms:modified>
  <cp:revision>9</cp:revision>
  <dc:subject/>
  <dc:title>Enron Nigeria Power Holding Limited</dc:title>
</cp:coreProperties>
</file>