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Enron Global Assets</w:t>
      </w:r>
    </w:p>
    <w:p>
      <w:pPr>
        <w:pStyle w:val="Heading2"/>
        <w:ind w:hanging="0" w:start="0"/>
        <w:rPr>
          <w:sz w:val="24"/>
        </w:rPr>
      </w:pPr>
      <w:r>
        <w:rPr>
          <w:sz w:val="24"/>
        </w:rPr>
        <w:t>Monthly Report</w:t>
      </w:r>
    </w:p>
    <w:p>
      <w:pPr>
        <w:pStyle w:val="Normal"/>
        <w:jc w:val="center"/>
        <w:rPr>
          <w:b/>
          <w:sz w:val="24"/>
        </w:rPr>
      </w:pPr>
      <w:r>
        <w:rPr>
          <w:b/>
          <w:sz w:val="24"/>
        </w:rPr>
        <w:t>February 2000</w:t>
      </w:r>
    </w:p>
    <w:p>
      <w:pPr>
        <w:pStyle w:val="Heading1"/>
        <w:ind w:hanging="0" w:start="0"/>
        <w:rPr>
          <w:b/>
          <w:sz w:val="24"/>
        </w:rPr>
      </w:pPr>
      <w:r>
        <w:rPr>
          <w:b/>
          <w:sz w:val="24"/>
        </w:rPr>
      </w:r>
    </w:p>
    <w:p>
      <w:pPr>
        <w:pStyle w:val="Heading1"/>
        <w:ind w:hanging="0" w:start="0"/>
        <w:rPr/>
      </w:pPr>
      <w:r>
        <w:rPr/>
      </w:r>
    </w:p>
    <w:p>
      <w:pPr>
        <w:pStyle w:val="Heading1"/>
        <w:numPr>
          <w:ilvl w:val="0"/>
          <w:numId w:val="10"/>
        </w:numPr>
        <w:rPr/>
      </w:pPr>
      <w:r>
        <w:rPr>
          <w:b/>
        </w:rPr>
        <w:t xml:space="preserve">Major EGA Initiatives </w:t>
      </w:r>
      <w:r>
        <w:rPr/>
        <w:t>(Bruce Lundstrom and Bill Krenz)</w:t>
      </w:r>
    </w:p>
    <w:p>
      <w:pPr>
        <w:pStyle w:val="Heading1"/>
        <w:ind w:hanging="0" w:start="0"/>
        <w:rPr/>
      </w:pPr>
      <w:r>
        <w:rPr/>
      </w:r>
    </w:p>
    <w:p>
      <w:pPr>
        <w:pStyle w:val="Heading1"/>
        <w:ind w:hanging="0" w:start="720" w:end="0"/>
        <w:rPr/>
      </w:pPr>
      <w:r>
        <w:rPr/>
        <w:t>EGA Representatives of Enron Global Finance and others at Enron have begun consideration of a number of alternatives to monetize all or a portion of the EGA portfolio.  EGA Legal is regrouping our Summer/Lightning work and looking at database options for documents that have not been scanned on-line.  Bill Krenz, Tami Scrudder and Darlene McKeever are helping to coordinate this effort for EGA Legal.</w:t>
      </w:r>
    </w:p>
    <w:p>
      <w:pPr>
        <w:pStyle w:val="Normal"/>
        <w:rPr>
          <w:sz w:val="24"/>
        </w:rPr>
      </w:pPr>
      <w:r>
        <w:rPr>
          <w:sz w:val="24"/>
        </w:rPr>
      </w:r>
    </w:p>
    <w:p>
      <w:pPr>
        <w:pStyle w:val="BodyText"/>
        <w:ind w:hanging="720" w:start="720" w:end="0"/>
        <w:rPr/>
      </w:pPr>
      <w:r>
        <w:rPr/>
        <w:tab/>
        <w:t>One alternative would involve further borrowing against some or all of EGA’s 32 project assets, providing the proceeds of such loans to Enron, and then placing the new debt obligations together with the related EGA project assets into a new company and spinning the new company off.  A preliminary financial analysis is underway to determine whether the amount of debt that could be raised against EGA’s project assets is sufficient to make the transaction economically feasible.</w:t>
      </w:r>
    </w:p>
    <w:p>
      <w:pPr>
        <w:pStyle w:val="Normal"/>
        <w:rPr>
          <w:sz w:val="24"/>
        </w:rPr>
      </w:pPr>
      <w:r>
        <w:rPr>
          <w:sz w:val="24"/>
        </w:rPr>
      </w:r>
    </w:p>
    <w:p>
      <w:pPr>
        <w:pStyle w:val="BodyText"/>
        <w:numPr>
          <w:ilvl w:val="0"/>
          <w:numId w:val="10"/>
        </w:numPr>
        <w:tabs>
          <w:tab w:val="clear" w:pos="720"/>
          <w:tab w:val="left" w:pos="1440" w:leader="none"/>
          <w:tab w:val="left" w:pos="2160" w:leader="none"/>
          <w:tab w:val="left" w:pos="7740" w:leader="none"/>
          <w:tab w:val="left" w:pos="8370" w:leader="none"/>
        </w:tabs>
        <w:rPr/>
      </w:pPr>
      <w:r>
        <w:rPr>
          <w:b/>
        </w:rPr>
        <w:t>Hainan</w:t>
      </w:r>
      <w:r>
        <w:rPr/>
        <w:t xml:space="preserve"> (Bill Krenz)</w:t>
      </w:r>
    </w:p>
    <w:p>
      <w:pPr>
        <w:pStyle w:val="BodyText"/>
        <w:tabs>
          <w:tab w:val="left" w:pos="720" w:leader="none"/>
          <w:tab w:val="left" w:pos="1440" w:leader="none"/>
          <w:tab w:val="left" w:pos="2160" w:leader="none"/>
          <w:tab w:val="left" w:pos="7740" w:leader="none"/>
          <w:tab w:val="left" w:pos="8370" w:leader="none"/>
        </w:tabs>
        <w:ind w:start="720" w:end="0"/>
        <w:rPr>
          <w:u w:val="single"/>
        </w:rPr>
      </w:pPr>
      <w:r>
        <w:rPr>
          <w:u w:val="single"/>
        </w:rPr>
        <w:t>Hainan Island Power Plant Settlement</w:t>
      </w:r>
    </w:p>
    <w:p>
      <w:pPr>
        <w:pStyle w:val="BodyText"/>
        <w:tabs>
          <w:tab w:val="clear" w:pos="720"/>
          <w:tab w:val="left" w:pos="7740" w:leader="none"/>
          <w:tab w:val="left" w:pos="8370" w:leader="none"/>
        </w:tabs>
        <w:rPr>
          <w:b/>
          <w:u w:val="single"/>
        </w:rPr>
      </w:pPr>
      <w:r>
        <w:rPr>
          <w:b/>
          <w:u w:val="single"/>
        </w:rPr>
      </w:r>
    </w:p>
    <w:p>
      <w:pPr>
        <w:pStyle w:val="BodyText"/>
        <w:ind w:start="720" w:end="0"/>
        <w:rPr/>
      </w:pPr>
      <w:r>
        <w:rPr/>
        <w:t>We are commencing preparations for the transfer of the Hainan Qinglan Plant to Hainan Province Electric Power Co., Ltd. scheduled to take place at the end of March, pursuant to the PPC Termination Agreement.  Once the transaction is completed, Enron will have approximately US$152 million in China to be repatriated to the United States, which is expected to be a legal and political challenge.  Research is continuing regarding the repatriation process.</w:t>
      </w:r>
    </w:p>
    <w:p>
      <w:pPr>
        <w:pStyle w:val="BodyText"/>
        <w:tabs>
          <w:tab w:val="left" w:pos="720" w:leader="none"/>
        </w:tabs>
        <w:rPr/>
      </w:pPr>
      <w:r>
        <w:rPr/>
      </w:r>
    </w:p>
    <w:p>
      <w:pPr>
        <w:pStyle w:val="Heading1"/>
        <w:ind w:hanging="0" w:start="0"/>
        <w:rPr/>
      </w:pPr>
      <w:r>
        <w:rPr/>
        <w:t>III.</w:t>
        <w:tab/>
      </w:r>
      <w:r>
        <w:rPr>
          <w:b/>
        </w:rPr>
        <w:t xml:space="preserve">Enron Nigeria Power Holding Limited  </w:t>
      </w:r>
      <w:r>
        <w:rPr/>
        <w:t>(Yao Apasu)</w:t>
      </w:r>
    </w:p>
    <w:p>
      <w:pPr>
        <w:pStyle w:val="Normal"/>
        <w:ind w:firstLine="720" w:end="0"/>
        <w:rPr>
          <w:sz w:val="24"/>
        </w:rPr>
      </w:pPr>
      <w:r>
        <w:rPr>
          <w:sz w:val="24"/>
        </w:rPr>
        <w:t>548 MW gas-fired plant in Lagos, Nigeria</w:t>
      </w:r>
    </w:p>
    <w:p>
      <w:pPr>
        <w:pStyle w:val="Normal"/>
        <w:ind w:firstLine="720" w:end="0"/>
        <w:rPr>
          <w:sz w:val="24"/>
          <w:u w:val="single"/>
        </w:rPr>
      </w:pPr>
      <w:r>
        <w:rPr>
          <w:sz w:val="24"/>
          <w:u w:val="single"/>
        </w:rPr>
        <w:t>280 km Pipeline from the Niger Delta to Lagos</w:t>
      </w:r>
    </w:p>
    <w:p>
      <w:pPr>
        <w:pStyle w:val="Normal"/>
        <w:rPr>
          <w:sz w:val="24"/>
          <w:u w:val="single"/>
        </w:rPr>
      </w:pPr>
      <w:r>
        <w:rPr>
          <w:sz w:val="24"/>
          <w:u w:val="single"/>
        </w:rPr>
      </w:r>
    </w:p>
    <w:p>
      <w:pPr>
        <w:pStyle w:val="Normal"/>
        <w:ind w:hanging="720" w:start="720" w:end="0"/>
        <w:rPr>
          <w:sz w:val="24"/>
        </w:rPr>
      </w:pPr>
      <w:r>
        <w:rPr>
          <w:sz w:val="24"/>
        </w:rPr>
        <w:tab/>
        <w:t>Negotiations are continuing with the officials of the Lagos State Government, the Nigerian Federal Government and the National Electric Power Authority to amend and restate the PPA executed among such parties and Enron Power Holding on December 6, 1999.  The execution of the amendment will trigger the sale of all the issued and outstanding shares of (x) Enron IPP Holding and Enron Pipeline Holding or (y) Enron Power Holding (the parent of IPP Holding and Pipeline Holding) to AES Nigeria Holdings Ltd. pursuant to a Purchase and Sale Agreement dated September 30, 2000 among certain Enron entities and AES Nigeria.  AES Nigeria’s obligations are guaranteed by AES Corporation.</w:t>
      </w:r>
    </w:p>
    <w:p>
      <w:pPr>
        <w:pStyle w:val="Normal"/>
        <w:rPr>
          <w:sz w:val="24"/>
        </w:rPr>
      </w:pPr>
      <w:r>
        <w:rPr>
          <w:sz w:val="24"/>
        </w:rPr>
      </w:r>
      <w:r>
        <w:br w:type="page"/>
      </w:r>
    </w:p>
    <w:p>
      <w:pPr>
        <w:pStyle w:val="Normal"/>
        <w:rPr/>
      </w:pPr>
      <w:r>
        <w:rPr>
          <w:sz w:val="24"/>
        </w:rPr>
        <w:t>IV.</w:t>
        <w:tab/>
      </w:r>
      <w:r>
        <w:rPr>
          <w:b/>
          <w:sz w:val="24"/>
        </w:rPr>
        <w:t xml:space="preserve">Dominican Republic </w:t>
      </w:r>
      <w:r>
        <w:rPr>
          <w:sz w:val="24"/>
        </w:rPr>
        <w:t>(Yao Apasu)</w:t>
      </w:r>
    </w:p>
    <w:p>
      <w:pPr>
        <w:pStyle w:val="Heading3"/>
        <w:rPr/>
      </w:pPr>
      <w:r>
        <w:rPr/>
        <w:t>Smith Enron Cogeneration Limited Partnership (SECLP)</w:t>
      </w:r>
    </w:p>
    <w:p>
      <w:pPr>
        <w:pStyle w:val="Normal"/>
        <w:rPr>
          <w:sz w:val="24"/>
        </w:rPr>
      </w:pPr>
      <w:r>
        <w:rPr>
          <w:sz w:val="24"/>
        </w:rPr>
      </w:r>
    </w:p>
    <w:p>
      <w:pPr>
        <w:pStyle w:val="BodyText"/>
        <w:numPr>
          <w:ilvl w:val="0"/>
          <w:numId w:val="5"/>
        </w:numPr>
        <w:rPr/>
      </w:pPr>
      <w:r>
        <w:rPr>
          <w:u w:val="single"/>
        </w:rPr>
        <w:t>Transfer of PPA</w:t>
      </w:r>
      <w:r>
        <w:rPr/>
        <w:t>.  Negotiations are continuing on a Confidentiality Agreement with Union Fenosa for the possible (x) transfer of the PPA dated September 29, 1999 among SECLP, Corporacion Dominicana de Electricidad and the Dominican State, and (y) the sale of the partnership interests in SECLP owned by Enron.</w:t>
      </w:r>
    </w:p>
    <w:p>
      <w:pPr>
        <w:pStyle w:val="BodyText"/>
        <w:rPr/>
      </w:pPr>
      <w:r>
        <w:rPr/>
      </w:r>
    </w:p>
    <w:p>
      <w:pPr>
        <w:pStyle w:val="BodyTextIndent2"/>
        <w:ind w:hanging="0" w:end="0"/>
        <w:rPr/>
      </w:pPr>
      <w:r>
        <w:rPr/>
        <w:t>We are also continuing the review and analysis of the PPA, and the Definitive Agreement dated April 14, 1999 among SECLP, various IPPs , and certain Dominican governmental entities to provide the legal basis for facilitating the transfer of the government’s obligations under the PPA to Union Fenosa.</w:t>
      </w:r>
    </w:p>
    <w:p>
      <w:pPr>
        <w:pStyle w:val="BodyTextIndent2"/>
        <w:ind w:hanging="0" w:end="0"/>
        <w:rPr/>
      </w:pPr>
      <w:r>
        <w:rPr/>
      </w:r>
    </w:p>
    <w:p>
      <w:pPr>
        <w:pStyle w:val="BodyTextIndent2"/>
        <w:numPr>
          <w:ilvl w:val="0"/>
          <w:numId w:val="5"/>
        </w:numPr>
        <w:rPr/>
      </w:pPr>
      <w:r>
        <w:rPr>
          <w:u w:val="single"/>
        </w:rPr>
        <w:t>Delinquent Accounts Receivable</w:t>
      </w:r>
      <w:r>
        <w:rPr/>
        <w:t>.  Negotiations are currently going on with the government of the Dominican Republic to replenish the government guaranty letter of credit (“LOC”) and to collect the past due receivables.  SECLP was unable to collect past due receivables (in an aggregate amount of $24 MM) and the principal and interest payment of $12.4 MM payable to the lenders (IFC, MARAD, DEG, CDC and commercial banks) on December 15, 2000.  Consequently, on January 16, 2001 SECLP had to make-up the payment shortfall by drawing down $9.8 MM (of the $16 MM) of the LOC.  Until the LOC is replenished, SECLP is prohibited from making dividend distributions.</w:t>
      </w:r>
    </w:p>
    <w:p>
      <w:pPr>
        <w:pStyle w:val="BodyTextIndent"/>
        <w:ind w:start="1440" w:end="0"/>
        <w:rPr/>
      </w:pPr>
      <w:r>
        <w:rPr/>
      </w:r>
    </w:p>
    <w:p>
      <w:pPr>
        <w:pStyle w:val="BodyTextIndent3"/>
        <w:numPr>
          <w:ilvl w:val="0"/>
          <w:numId w:val="5"/>
        </w:numPr>
        <w:rPr/>
      </w:pPr>
      <w:r>
        <w:rPr>
          <w:u w:val="single"/>
        </w:rPr>
        <w:t>Boilers</w:t>
      </w:r>
      <w:r>
        <w:rPr/>
        <w:t>.  One of SECLP’s most critical problems is lack of reliability.  The existing boilers were not properly designed to operate on #6 fuel oil.  SECLP executed and issued notice to proceed under a settlement agreement with Foster Wheeler and Raytheon (“FW&amp;R”), the original EPC contractors, for the erection of a new 80MW boiler.  The total cost of the boiler is estimated at $21MM.  SECLP is required to fund $5MM while FW&amp;R must fund the remaining $16MM.</w:t>
      </w:r>
    </w:p>
    <w:p>
      <w:pPr>
        <w:pStyle w:val="Normal"/>
        <w:rPr>
          <w:sz w:val="24"/>
        </w:rPr>
      </w:pPr>
      <w:r>
        <w:rPr>
          <w:sz w:val="24"/>
        </w:rPr>
      </w:r>
    </w:p>
    <w:p>
      <w:pPr>
        <w:pStyle w:val="BodyTextIndent2"/>
        <w:numPr>
          <w:ilvl w:val="0"/>
          <w:numId w:val="5"/>
        </w:numPr>
        <w:rPr/>
      </w:pPr>
      <w:r>
        <w:rPr>
          <w:u w:val="single"/>
        </w:rPr>
        <w:t>Steam Turbines</w:t>
      </w:r>
      <w:r>
        <w:rPr/>
        <w:t>.  On October 23, 2000, the steam turbine was taken out of service due to high vibration levels.  This outage has reduced plant capacity from 160MW to 65MW.  Because SECLP’s capacity payment is fully variable (i.e., capacity revenue is calculated based on availability (whether or not dispatched)), this outage has reduced total revenues by approximately $8.5MM.</w:t>
      </w:r>
    </w:p>
    <w:p>
      <w:pPr>
        <w:pStyle w:val="BodyTextIndent"/>
        <w:ind w:start="0" w:end="0"/>
        <w:rPr/>
      </w:pPr>
      <w:r>
        <w:rPr/>
      </w:r>
    </w:p>
    <w:p>
      <w:pPr>
        <w:pStyle w:val="BodyTextIndent"/>
        <w:ind w:start="1440" w:end="0"/>
        <w:rPr/>
      </w:pPr>
      <w:r>
        <w:rPr/>
        <w:t>Negotiations are continuing with the insurance company to recover the lost revenues covered by business interruption insurance, which after the 45-day deductible is estimated to be $4.5MM.  The insurance company has alleged that SECLP could have implemented interim solutions which would have prevented the expiration of the 45 day deductible period.  Management believes this allegation has no merit.</w:t>
      </w:r>
    </w:p>
    <w:p>
      <w:pPr>
        <w:pStyle w:val="BodyTextIndent"/>
        <w:ind w:start="1440" w:end="0"/>
        <w:rPr/>
      </w:pPr>
      <w:r>
        <w:rPr/>
      </w:r>
    </w:p>
    <w:p>
      <w:pPr>
        <w:pStyle w:val="BodyText"/>
        <w:numPr>
          <w:ilvl w:val="0"/>
          <w:numId w:val="5"/>
        </w:numPr>
        <w:tabs>
          <w:tab w:val="clear" w:pos="720"/>
          <w:tab w:val="left" w:pos="7740" w:leader="none"/>
          <w:tab w:val="left" w:pos="8370" w:leader="none"/>
        </w:tabs>
        <w:rPr/>
      </w:pPr>
      <w:r>
        <w:rPr>
          <w:u w:val="single"/>
        </w:rPr>
        <w:t>Litigation/Arbitration</w:t>
      </w:r>
      <w:r>
        <w:rPr/>
        <w:t xml:space="preserve">.  Several litigation/arbitration proceedings involving SECLP are pending.  Please see </w:t>
      </w:r>
      <w:r>
        <w:rPr>
          <w:u w:val="single"/>
        </w:rPr>
        <w:t>Memorandum re:  W/S Enron Global Assets Litigation Update</w:t>
      </w:r>
      <w:r>
        <w:rPr/>
        <w:t xml:space="preserve"> by Michelle Blaine and Gail Brownfeld.</w:t>
      </w:r>
    </w:p>
    <w:p>
      <w:pPr>
        <w:pStyle w:val="BodyText"/>
        <w:tabs>
          <w:tab w:val="clear" w:pos="720"/>
          <w:tab w:val="left" w:pos="1080" w:leader="none"/>
          <w:tab w:val="left" w:pos="7740" w:leader="none"/>
          <w:tab w:val="left" w:pos="8370" w:leader="none"/>
        </w:tabs>
        <w:rPr/>
      </w:pPr>
      <w:r>
        <w:rPr/>
      </w:r>
    </w:p>
    <w:p>
      <w:pPr>
        <w:pStyle w:val="BodyText"/>
        <w:numPr>
          <w:ilvl w:val="0"/>
          <w:numId w:val="7"/>
        </w:numPr>
        <w:tabs>
          <w:tab w:val="clear" w:pos="720"/>
          <w:tab w:val="left" w:pos="1440" w:leader="none"/>
          <w:tab w:val="left" w:pos="2160" w:leader="none"/>
          <w:tab w:val="left" w:pos="7740" w:leader="none"/>
          <w:tab w:val="left" w:pos="8370" w:leader="none"/>
        </w:tabs>
        <w:rPr/>
      </w:pPr>
      <w:r>
        <w:rPr>
          <w:b/>
        </w:rPr>
        <w:t>Jamaica</w:t>
      </w:r>
      <w:r>
        <w:rPr/>
        <w:t xml:space="preserve"> (Yao Apasu)</w:t>
      </w:r>
    </w:p>
    <w:p>
      <w:pPr>
        <w:pStyle w:val="BodyText"/>
        <w:tabs>
          <w:tab w:val="left" w:pos="720" w:leader="none"/>
          <w:tab w:val="left" w:pos="1440" w:leader="none"/>
          <w:tab w:val="left" w:pos="2160" w:leader="none"/>
          <w:tab w:val="left" w:pos="7740" w:leader="none"/>
          <w:tab w:val="left" w:pos="8370" w:leader="none"/>
        </w:tabs>
        <w:ind w:start="720" w:end="0"/>
        <w:rPr>
          <w:u w:val="single"/>
        </w:rPr>
      </w:pPr>
      <w:r>
        <w:rPr>
          <w:u w:val="single"/>
        </w:rPr>
        <w:t>ILG</w:t>
      </w:r>
    </w:p>
    <w:p>
      <w:pPr>
        <w:pStyle w:val="BodyText"/>
        <w:tabs>
          <w:tab w:val="left" w:pos="720" w:leader="none"/>
          <w:tab w:val="left" w:pos="1440" w:leader="none"/>
          <w:tab w:val="left" w:pos="2160" w:leader="none"/>
          <w:tab w:val="left" w:pos="7740" w:leader="none"/>
          <w:tab w:val="left" w:pos="8370" w:leader="none"/>
        </w:tabs>
        <w:rPr/>
      </w:pPr>
      <w:r>
        <w:rPr/>
      </w:r>
    </w:p>
    <w:p>
      <w:pPr>
        <w:pStyle w:val="BodyText"/>
        <w:tabs>
          <w:tab w:val="left" w:pos="720" w:leader="none"/>
          <w:tab w:val="left" w:pos="1440" w:leader="none"/>
          <w:tab w:val="left" w:pos="2160" w:leader="none"/>
          <w:tab w:val="left" w:pos="7740" w:leader="none"/>
          <w:tab w:val="left" w:pos="8370" w:leader="none"/>
        </w:tabs>
        <w:ind w:hanging="720" w:start="720" w:end="0"/>
        <w:rPr/>
      </w:pPr>
      <w:r>
        <w:rPr/>
        <w:tab/>
        <w:t>ILG has filed an action seeking an interlocutory injunction against Petcom (a government LPG plant) and its managers to stop the illegal filling of customers cylinders with LPG.  The first hearing was scheduled for January 15</w:t>
      </w:r>
      <w:r>
        <w:rPr>
          <w:vertAlign w:val="superscript"/>
        </w:rPr>
        <w:t>th</w:t>
      </w:r>
      <w:r>
        <w:rPr/>
        <w:t xml:space="preserve"> but was adjourned to February 27, 2000.</w:t>
      </w:r>
    </w:p>
    <w:p>
      <w:pPr>
        <w:pStyle w:val="BodyText"/>
        <w:tabs>
          <w:tab w:val="left" w:pos="720" w:leader="none"/>
          <w:tab w:val="left" w:pos="1440" w:leader="none"/>
          <w:tab w:val="left" w:pos="2160" w:leader="none"/>
          <w:tab w:val="left" w:pos="7740" w:leader="none"/>
          <w:tab w:val="left" w:pos="8370" w:leader="none"/>
        </w:tabs>
        <w:rPr/>
      </w:pPr>
      <w:r>
        <w:rPr/>
      </w:r>
    </w:p>
    <w:p>
      <w:pPr>
        <w:pStyle w:val="BodyText"/>
        <w:numPr>
          <w:ilvl w:val="0"/>
          <w:numId w:val="7"/>
        </w:numPr>
        <w:rPr/>
      </w:pPr>
      <w:r>
        <w:rPr>
          <w:b/>
        </w:rPr>
        <w:t>India</w:t>
      </w:r>
      <w:r>
        <w:rPr/>
        <w:t xml:space="preserve"> (Robert Mathis and Paul Kraske)</w:t>
      </w:r>
    </w:p>
    <w:p>
      <w:pPr>
        <w:pStyle w:val="BodyText"/>
        <w:ind w:start="720" w:end="0"/>
        <w:rPr>
          <w:u w:val="single"/>
        </w:rPr>
      </w:pPr>
      <w:r>
        <w:rPr>
          <w:u w:val="single"/>
        </w:rPr>
        <w:t>Dabhol Power Company</w:t>
      </w:r>
    </w:p>
    <w:p>
      <w:pPr>
        <w:pStyle w:val="BodyText"/>
        <w:tabs>
          <w:tab w:val="left" w:pos="720" w:leader="none"/>
        </w:tabs>
        <w:rPr>
          <w:u w:val="single"/>
        </w:rPr>
      </w:pPr>
      <w:r>
        <w:rPr>
          <w:u w:val="single"/>
        </w:rPr>
      </w:r>
    </w:p>
    <w:p>
      <w:pPr>
        <w:pStyle w:val="Heading1"/>
        <w:ind w:firstLine="720" w:start="0" w:end="0"/>
        <w:rPr/>
      </w:pPr>
      <w:r>
        <w:rPr/>
        <w:t>A.</w:t>
        <w:tab/>
      </w:r>
      <w:r>
        <w:rPr>
          <w:u w:val="single"/>
        </w:rPr>
        <w:t>MSEB Payment Status</w:t>
      </w:r>
    </w:p>
    <w:p>
      <w:pPr>
        <w:pStyle w:val="Normal"/>
        <w:ind w:start="720" w:end="0"/>
        <w:jc w:val="both"/>
        <w:rPr>
          <w:sz w:val="24"/>
          <w:u w:val="single"/>
        </w:rPr>
      </w:pPr>
      <w:r>
        <w:rPr>
          <w:sz w:val="24"/>
          <w:u w:val="single"/>
        </w:rPr>
      </w:r>
    </w:p>
    <w:p>
      <w:pPr>
        <w:pStyle w:val="Normal"/>
        <w:ind w:start="1440" w:end="0"/>
        <w:jc w:val="both"/>
        <w:rPr>
          <w:sz w:val="24"/>
        </w:rPr>
      </w:pPr>
      <w:r>
        <w:rPr>
          <w:sz w:val="24"/>
        </w:rPr>
        <w:t xml:space="preserve">On Monday, February 12, 2001, MSEB paid Rs 74 Crores owed for the balance amount of the November monthly payment, which satisfies in full that payment and relieves the government of India (GOI) from paying that amount via the demand made under the GOI Guarantee. Also, the demand for payment under the government of Maharashtra (GOM) Guarantee is withdrawn as to the November payment, but not as to the December payment. The GOM Guarantee was invoked on February 6, 2001 for the December payment, which gave the GOM 7 days to pay. GOM did not pay the December payment on or before February 12, 2001, which date was the end of the prescribed 7-day period. DPC has not pursued a demand for payment of the December payment under the GOI Guarantee. Since the November payment has been paid, the date for the December payment is extended 30 days (pursuant to a waiver consent granted by the Secured Creditors to DPC), which extension is available when there is only one monthly payment outstanding past its due date. Therefore, MSEB has 30 days from the due date of January 25, 2001, until February 25, 2001 to pay the December monthly payment. Thereafter, if payment is not received, DPC has the option of making a demand under the GOI Guarantee for the December amount, because the 7-day period has expired under the GOM Guarantee. </w:t>
      </w:r>
    </w:p>
    <w:p>
      <w:pPr>
        <w:pStyle w:val="Normal"/>
        <w:ind w:start="720" w:end="0"/>
        <w:jc w:val="both"/>
        <w:rPr>
          <w:sz w:val="24"/>
        </w:rPr>
      </w:pPr>
      <w:r>
        <w:rPr>
          <w:sz w:val="24"/>
        </w:rPr>
      </w:r>
    </w:p>
    <w:p>
      <w:pPr>
        <w:pStyle w:val="Heading1"/>
        <w:ind w:firstLine="720" w:start="0" w:end="0"/>
        <w:rPr/>
      </w:pPr>
      <w:r>
        <w:rPr/>
        <w:t>B.</w:t>
        <w:tab/>
      </w:r>
      <w:r>
        <w:rPr>
          <w:u w:val="single"/>
        </w:rPr>
        <w:t>Finance Status</w:t>
      </w:r>
    </w:p>
    <w:p>
      <w:pPr>
        <w:pStyle w:val="Normal"/>
        <w:ind w:start="720" w:end="0"/>
        <w:jc w:val="both"/>
        <w:rPr>
          <w:sz w:val="24"/>
          <w:u w:val="single"/>
        </w:rPr>
      </w:pPr>
      <w:r>
        <w:rPr>
          <w:sz w:val="24"/>
          <w:u w:val="single"/>
        </w:rPr>
      </w:r>
    </w:p>
    <w:p>
      <w:pPr>
        <w:pStyle w:val="BodyText"/>
        <w:tabs>
          <w:tab w:val="left" w:pos="720" w:leader="none"/>
        </w:tabs>
        <w:ind w:start="1440" w:end="0"/>
        <w:rPr/>
      </w:pPr>
      <w:r>
        <w:rPr/>
        <w:t>The February loan disbursement has been made to DPC from JBIC and the Rupee lenders, and the funds have been used to pay the February invoice of DPC’s EPC contractor. IFCI, a rupee loan lender, does not want to fund the balance of its loan commitment due to its own financial constraints, and not because of DPC. ICICI has agreed to fund IFCI’s February loan commitment, even though the amended loan documents have not yet been finalized between the parties and agreed with the Secured Creditors. The consent will be circulated soon to the Secured Creditors for their consent to the amendment of the finance documents.</w:t>
      </w:r>
    </w:p>
    <w:p>
      <w:pPr>
        <w:pStyle w:val="BodyText"/>
        <w:tabs>
          <w:tab w:val="left" w:pos="720" w:leader="none"/>
        </w:tabs>
        <w:ind w:start="1440" w:end="0"/>
        <w:rPr/>
      </w:pPr>
      <w:r>
        <w:rPr/>
      </w:r>
    </w:p>
    <w:p>
      <w:pPr>
        <w:pStyle w:val="Heading4"/>
        <w:spacing w:lineRule="auto" w:line="240"/>
        <w:rPr/>
      </w:pPr>
      <w:r>
        <w:rPr>
          <w:sz w:val="24"/>
          <w:u w:val="none"/>
        </w:rPr>
        <w:t>C.</w:t>
        <w:tab/>
      </w:r>
      <w:r>
        <w:rPr>
          <w:sz w:val="24"/>
        </w:rPr>
        <w:t>MSEB Meet and Discuss</w:t>
      </w:r>
    </w:p>
    <w:p>
      <w:pPr>
        <w:pStyle w:val="Normal"/>
        <w:ind w:start="720" w:end="0"/>
        <w:jc w:val="both"/>
        <w:rPr>
          <w:sz w:val="24"/>
        </w:rPr>
      </w:pPr>
      <w:r>
        <w:rPr>
          <w:sz w:val="24"/>
        </w:rPr>
      </w:r>
    </w:p>
    <w:p>
      <w:pPr>
        <w:pStyle w:val="Normal"/>
        <w:ind w:start="1440" w:end="0"/>
        <w:jc w:val="both"/>
        <w:rPr>
          <w:sz w:val="24"/>
        </w:rPr>
      </w:pPr>
      <w:r>
        <w:rPr>
          <w:sz w:val="24"/>
        </w:rPr>
        <w:t xml:space="preserve">The first dispute resolution meeting with MSEB was held on February 13, 2001 following a letter sent by DPC to MSEB under Clause 20.2 of the PPA.  Although none of the disputes discussed were resolved, the meeting did provide a useful forum for debating differing positions on a number of continuing practices (including the treatment of foreign exchange fluctuations under the PPA and the extent to which various changes in tax should be borne by MSEB) as well as fulfilling a prerequisite to arbitration.  The next meeting of the panel is scheduled to occur in the last week of February.  </w:t>
      </w:r>
    </w:p>
    <w:p>
      <w:pPr>
        <w:pStyle w:val="Normal"/>
        <w:ind w:start="720" w:end="0"/>
        <w:jc w:val="both"/>
        <w:rPr>
          <w:sz w:val="24"/>
        </w:rPr>
      </w:pPr>
      <w:r>
        <w:rPr>
          <w:sz w:val="24"/>
        </w:rPr>
      </w:r>
    </w:p>
    <w:p>
      <w:pPr>
        <w:pStyle w:val="Normal"/>
        <w:ind w:firstLine="720" w:end="0"/>
        <w:jc w:val="both"/>
        <w:rPr/>
      </w:pPr>
      <w:r>
        <w:rPr>
          <w:color w:val="000000"/>
          <w:sz w:val="24"/>
          <w:lang w:eastAsia="en-US"/>
        </w:rPr>
        <w:t>D.</w:t>
        <w:tab/>
      </w:r>
      <w:r>
        <w:rPr>
          <w:color w:val="000000"/>
          <w:sz w:val="24"/>
          <w:u w:val="single"/>
          <w:lang w:eastAsia="en-US"/>
        </w:rPr>
        <w:t>Major Litigation Status</w:t>
      </w:r>
    </w:p>
    <w:p>
      <w:pPr>
        <w:pStyle w:val="Normal"/>
        <w:jc w:val="both"/>
        <w:rPr>
          <w:color w:val="000000"/>
          <w:sz w:val="24"/>
          <w:u w:val="single"/>
          <w:lang w:eastAsia="en-US"/>
        </w:rPr>
      </w:pPr>
      <w:r>
        <w:rPr>
          <w:color w:val="000000"/>
          <w:sz w:val="24"/>
          <w:u w:val="single"/>
          <w:lang w:eastAsia="en-US"/>
        </w:rPr>
      </w:r>
    </w:p>
    <w:p>
      <w:pPr>
        <w:pStyle w:val="Normal"/>
        <w:ind w:start="1440" w:end="0"/>
        <w:jc w:val="both"/>
        <w:rPr/>
      </w:pPr>
      <w:r>
        <w:rPr>
          <w:color w:val="000000"/>
          <w:sz w:val="24"/>
          <w:lang w:eastAsia="en-US"/>
        </w:rPr>
        <w:t xml:space="preserve">DPC expects that P. B. Samant (who has filed several litigations against DPC/Enron from time to time) is in the process of filing another petition in the </w:t>
      </w:r>
      <w:r>
        <w:rPr>
          <w:sz w:val="24"/>
        </w:rPr>
        <w:t>Bombay High Court in order to restrain, inter alia, GOI and/or the GOM from making payments under their respective guarantees. The petition has not been filed as yet. In anticipation of a filing of the petition, DPC sent a proposed plan of action on February 12, 2001 to all the concerned persons in Enron for their comment.</w:t>
      </w:r>
    </w:p>
    <w:p>
      <w:pPr>
        <w:pStyle w:val="BodyText"/>
        <w:tabs>
          <w:tab w:val="left" w:pos="720" w:leader="none"/>
        </w:tabs>
        <w:rPr>
          <w:sz w:val="24"/>
        </w:rPr>
      </w:pPr>
      <w:r>
        <w:rPr>
          <w:sz w:val="24"/>
        </w:rPr>
      </w:r>
    </w:p>
    <w:p>
      <w:pPr>
        <w:pStyle w:val="Normal"/>
        <w:ind w:firstLine="720" w:end="0"/>
        <w:jc w:val="both"/>
        <w:rPr/>
      </w:pPr>
      <w:r>
        <w:rPr>
          <w:sz w:val="24"/>
        </w:rPr>
        <w:t>E.</w:t>
        <w:tab/>
      </w:r>
      <w:r>
        <w:rPr>
          <w:sz w:val="24"/>
          <w:u w:val="single"/>
        </w:rPr>
        <w:t>Other Issues</w:t>
      </w:r>
    </w:p>
    <w:p>
      <w:pPr>
        <w:pStyle w:val="Normal"/>
        <w:jc w:val="both"/>
        <w:rPr>
          <w:sz w:val="24"/>
          <w:u w:val="single"/>
        </w:rPr>
      </w:pPr>
      <w:r>
        <w:rPr>
          <w:sz w:val="24"/>
          <w:u w:val="single"/>
        </w:rPr>
      </w:r>
    </w:p>
    <w:p>
      <w:pPr>
        <w:pStyle w:val="Normal"/>
        <w:ind w:hanging="360" w:start="1800" w:end="0"/>
        <w:jc w:val="both"/>
        <w:rPr/>
      </w:pPr>
      <w:r>
        <w:rPr>
          <w:sz w:val="24"/>
        </w:rPr>
        <w:t>1.</w:t>
        <w:tab/>
      </w:r>
      <w:r>
        <w:rPr>
          <w:sz w:val="24"/>
          <w:u w:val="single"/>
        </w:rPr>
        <w:t>CEA Investigation</w:t>
      </w:r>
      <w:r>
        <w:rPr>
          <w:sz w:val="24"/>
        </w:rPr>
        <w:t xml:space="preserve">.  DPC is aware that persons from the Central Electricity Authority ("CEA") are in the process of carrying out certain investigations in the offices of the MSEB. DPC has limited knowledge in respect of the nature of their inquiry, and therefore DPC can only prepare generally for a challenge to CEA’s approval of the project.   In this regard, DPC is focussing its review on (1) the extent to which CEA can revisit a project clearance once granted under Indian law and (2) the extent to which representations in correspondence between DPC and CEA were complete and accurate.  </w:t>
      </w:r>
    </w:p>
    <w:p>
      <w:pPr>
        <w:pStyle w:val="Normal"/>
        <w:ind w:hanging="360" w:start="1800" w:end="0"/>
        <w:jc w:val="both"/>
        <w:rPr>
          <w:b/>
          <w:color w:val="000000"/>
          <w:sz w:val="24"/>
          <w:lang w:eastAsia="en-US"/>
        </w:rPr>
      </w:pPr>
      <w:r>
        <w:rPr>
          <w:b/>
          <w:color w:val="000000"/>
          <w:sz w:val="24"/>
          <w:lang w:eastAsia="en-US"/>
        </w:rPr>
      </w:r>
    </w:p>
    <w:p>
      <w:pPr>
        <w:pStyle w:val="Normal"/>
        <w:ind w:hanging="360" w:start="1800" w:end="0"/>
        <w:jc w:val="both"/>
        <w:rPr/>
      </w:pPr>
      <w:r>
        <w:rPr>
          <w:color w:val="000000"/>
          <w:sz w:val="24"/>
          <w:lang w:eastAsia="en-US"/>
        </w:rPr>
        <w:t>2.</w:t>
        <w:tab/>
      </w:r>
      <w:r>
        <w:rPr>
          <w:color w:val="000000"/>
          <w:sz w:val="24"/>
          <w:u w:val="single"/>
          <w:lang w:eastAsia="en-US"/>
        </w:rPr>
        <w:t>Misdeclaration Issue</w:t>
      </w:r>
      <w:r>
        <w:rPr>
          <w:color w:val="000000"/>
          <w:sz w:val="24"/>
          <w:lang w:eastAsia="en-US"/>
        </w:rPr>
        <w:t>.  On January 28</w:t>
      </w:r>
      <w:r>
        <w:rPr>
          <w:color w:val="000000"/>
          <w:sz w:val="24"/>
          <w:vertAlign w:val="superscript"/>
          <w:lang w:eastAsia="en-US"/>
        </w:rPr>
        <w:t>th</w:t>
      </w:r>
      <w:r>
        <w:rPr>
          <w:color w:val="000000"/>
          <w:sz w:val="24"/>
          <w:lang w:eastAsia="en-US"/>
        </w:rPr>
        <w:t>, MSEB issued dispatch instructions requiring the power station to be ramped up in accordance with the start-up curves included in the PPA.  This instruction was repeated on February 13</w:t>
      </w:r>
      <w:r>
        <w:rPr>
          <w:color w:val="000000"/>
          <w:sz w:val="24"/>
          <w:vertAlign w:val="superscript"/>
          <w:lang w:eastAsia="en-US"/>
        </w:rPr>
        <w:t>th</w:t>
      </w:r>
      <w:r>
        <w:rPr>
          <w:color w:val="000000"/>
          <w:sz w:val="24"/>
          <w:lang w:eastAsia="en-US"/>
        </w:rPr>
        <w:t>.  The plant has never been able to ramp up as quickly as is required by these existing PPA curves but DPC had not, until January 29</w:t>
      </w:r>
      <w:r>
        <w:rPr>
          <w:color w:val="000000"/>
          <w:sz w:val="24"/>
          <w:vertAlign w:val="superscript"/>
          <w:lang w:eastAsia="en-US"/>
        </w:rPr>
        <w:t>th</w:t>
      </w:r>
      <w:r>
        <w:rPr>
          <w:color w:val="000000"/>
          <w:sz w:val="24"/>
          <w:lang w:eastAsia="en-US"/>
        </w:rPr>
        <w:t>, formally communicated the differences between the start up curves included in the PPA and the actual start up profile of the plant. As a result, MSEB appears ready to claim that DPC has been misdeclaring its available capacity and intends to charge DPC very large penalties.  Although DPC and outside counsel are confident that ultimately DPC will not be liable for misdeclaration penalties, MSEB could argue that MSEB should not be required to pay monthly bills until the dispute over start-ups and liability for misdeclaration penalties is resolved.</w:t>
      </w:r>
    </w:p>
    <w:p>
      <w:pPr>
        <w:pStyle w:val="BodyText"/>
        <w:tabs>
          <w:tab w:val="left" w:pos="720" w:leader="none"/>
        </w:tabs>
        <w:rPr>
          <w:color w:val="000000"/>
          <w:sz w:val="24"/>
          <w:lang w:eastAsia="en-US"/>
        </w:rPr>
      </w:pPr>
      <w:r>
        <w:rPr>
          <w:color w:val="000000"/>
          <w:sz w:val="24"/>
          <w:lang w:eastAsia="en-US"/>
        </w:rPr>
      </w:r>
    </w:p>
    <w:p>
      <w:pPr>
        <w:pStyle w:val="Normal"/>
        <w:rPr>
          <w:b/>
          <w:sz w:val="24"/>
        </w:rPr>
      </w:pPr>
      <w:r>
        <w:rPr>
          <w:sz w:val="24"/>
        </w:rPr>
        <w:t>VII.</w:t>
        <w:tab/>
      </w:r>
      <w:r>
        <w:rPr>
          <w:b/>
          <w:sz w:val="24"/>
        </w:rPr>
        <w:t xml:space="preserve">Puerto Rico </w:t>
      </w:r>
      <w:r>
        <w:rPr>
          <w:sz w:val="24"/>
        </w:rPr>
        <w:t>(Coralina Rivera)</w:t>
      </w:r>
    </w:p>
    <w:p>
      <w:pPr>
        <w:pStyle w:val="Heading7"/>
        <w:rPr>
          <w:u w:val="single"/>
        </w:rPr>
      </w:pPr>
      <w:r>
        <w:rPr>
          <w:u w:val="single"/>
        </w:rPr>
        <w:t xml:space="preserve">EcoElectrica 507 MW CC LNG Plant and 160k cubic meters LNG storage tank </w:t>
      </w:r>
    </w:p>
    <w:p>
      <w:pPr>
        <w:pStyle w:val="Normal"/>
        <w:rPr>
          <w:sz w:val="24"/>
          <w:u w:val="single"/>
        </w:rPr>
      </w:pPr>
      <w:r>
        <w:rPr>
          <w:sz w:val="24"/>
          <w:u w:val="single"/>
        </w:rPr>
      </w:r>
    </w:p>
    <w:p>
      <w:pPr>
        <w:pStyle w:val="BodyTextIndent2"/>
        <w:numPr>
          <w:ilvl w:val="0"/>
          <w:numId w:val="4"/>
        </w:numPr>
        <w:rPr/>
      </w:pPr>
      <w:r>
        <w:rPr/>
        <w:t>Siemens/Westinghouse (“ SW”)  warranty issues (including ramifications with lenders and underwriters).  -  $26.3MM (BI and BAR) of insurance claims currently pending analysis by adjuster.</w:t>
      </w:r>
    </w:p>
    <w:p>
      <w:pPr>
        <w:pStyle w:val="BodyTextIndent2"/>
        <w:ind w:hanging="0" w:start="0" w:end="0"/>
        <w:rPr/>
      </w:pPr>
      <w:r>
        <w:rPr/>
      </w:r>
    </w:p>
    <w:p>
      <w:pPr>
        <w:pStyle w:val="BodyTextIndent2"/>
        <w:numPr>
          <w:ilvl w:val="0"/>
          <w:numId w:val="4"/>
        </w:numPr>
        <w:rPr/>
      </w:pPr>
      <w:r>
        <w:rPr/>
        <w:t>PREPA (buyer under the PPA)  payment issues –  Meeting with PREPA scheduled for 2/21/01 to discuss outstanding issues and the agreement to arbitrate filed in 12/00 (interpretation of the NYMEX adjustment factor issue).</w:t>
      </w:r>
    </w:p>
    <w:p>
      <w:pPr>
        <w:pStyle w:val="BodyTextIndent2"/>
        <w:ind w:hanging="0" w:start="0" w:end="0"/>
        <w:rPr/>
      </w:pPr>
      <w:r>
        <w:rPr/>
      </w:r>
    </w:p>
    <w:p>
      <w:pPr>
        <w:pStyle w:val="BodyTextIndent2"/>
        <w:numPr>
          <w:ilvl w:val="0"/>
          <w:numId w:val="4"/>
        </w:numPr>
        <w:rPr/>
      </w:pPr>
      <w:r>
        <w:rPr/>
        <w:t>Retainage provisions with Contractor\EECC-  Settlement agreement in progress.</w:t>
      </w:r>
    </w:p>
    <w:p>
      <w:pPr>
        <w:pStyle w:val="BodyTextIndent2"/>
        <w:ind w:hanging="0" w:start="0" w:end="0"/>
        <w:rPr/>
      </w:pPr>
      <w:r>
        <w:rPr/>
      </w:r>
    </w:p>
    <w:p>
      <w:pPr>
        <w:pStyle w:val="BodyTextIndent2"/>
        <w:numPr>
          <w:ilvl w:val="0"/>
          <w:numId w:val="4"/>
        </w:numPr>
        <w:rPr/>
      </w:pPr>
      <w:r>
        <w:rPr/>
        <w:t>NLRB – First meeting with United Steelworkers (certified in 12/00) held in P.R. on 2/5/01.  Union did not present a written proposal but submitted a request for information, which Eco will provide by 2/21/01.</w:t>
      </w:r>
    </w:p>
    <w:p>
      <w:pPr>
        <w:pStyle w:val="BodyTextIndent2"/>
        <w:ind w:hanging="0" w:start="0" w:end="0"/>
        <w:rPr/>
      </w:pPr>
      <w:r>
        <w:rPr/>
      </w:r>
    </w:p>
    <w:p>
      <w:pPr>
        <w:pStyle w:val="BodyTextIndent2"/>
        <w:numPr>
          <w:ilvl w:val="0"/>
          <w:numId w:val="4"/>
        </w:numPr>
        <w:rPr/>
      </w:pPr>
      <w:r>
        <w:rPr/>
        <w:t xml:space="preserve">Cash flow - Eco on 3/5/01 redirected 1 LNG cargo supplied by Cabot from Eco facility to Lake Charles (profit - $3.3MM).  Legal has flagged potential conflict of interest issues between Enron LNG marketing group and EcoEclectrica. </w:t>
      </w:r>
    </w:p>
    <w:p>
      <w:pPr>
        <w:pStyle w:val="BodyText"/>
        <w:tabs>
          <w:tab w:val="left" w:pos="720" w:leader="none"/>
        </w:tabs>
        <w:rPr/>
      </w:pPr>
      <w:r>
        <w:rPr/>
      </w:r>
    </w:p>
    <w:p>
      <w:pPr>
        <w:pStyle w:val="Heading1"/>
        <w:numPr>
          <w:ilvl w:val="0"/>
          <w:numId w:val="8"/>
        </w:numPr>
        <w:rPr/>
      </w:pPr>
      <w:r>
        <w:rPr>
          <w:b/>
        </w:rPr>
        <w:t>Nicaragua</w:t>
      </w:r>
      <w:r>
        <w:rPr/>
        <w:t xml:space="preserve"> (Francisco Pinto-Leite)</w:t>
      </w:r>
    </w:p>
    <w:p>
      <w:pPr>
        <w:pStyle w:val="Heading8"/>
        <w:rPr/>
      </w:pPr>
      <w:r>
        <w:rPr/>
        <w:t>Corinto 70MW Barge-mounted Plant</w:t>
      </w:r>
    </w:p>
    <w:p>
      <w:pPr>
        <w:pStyle w:val="Normal"/>
        <w:ind w:start="720" w:end="0"/>
        <w:rPr>
          <w:sz w:val="24"/>
        </w:rPr>
      </w:pPr>
      <w:r>
        <w:rPr>
          <w:sz w:val="24"/>
        </w:rPr>
      </w:r>
    </w:p>
    <w:p>
      <w:pPr>
        <w:pStyle w:val="Normal"/>
        <w:ind w:start="720" w:end="0"/>
        <w:rPr>
          <w:sz w:val="24"/>
        </w:rPr>
      </w:pPr>
      <w:r>
        <w:rPr>
          <w:sz w:val="24"/>
        </w:rPr>
        <w:t>No significant legal issues.</w:t>
      </w:r>
    </w:p>
    <w:p>
      <w:pPr>
        <w:pStyle w:val="Heading1"/>
        <w:ind w:hanging="0" w:start="0"/>
        <w:rPr/>
      </w:pPr>
      <w:r>
        <w:rPr/>
      </w:r>
    </w:p>
    <w:p>
      <w:pPr>
        <w:pStyle w:val="Heading1"/>
        <w:ind w:hanging="0" w:start="0"/>
        <w:rPr/>
      </w:pPr>
      <w:r>
        <w:rPr/>
        <w:t>IX.</w:t>
        <w:tab/>
      </w:r>
      <w:r>
        <w:rPr>
          <w:b/>
        </w:rPr>
        <w:t xml:space="preserve">Guatemala </w:t>
      </w:r>
      <w:r>
        <w:rPr/>
        <w:t>(Francisco Pinto-Leite)</w:t>
      </w:r>
    </w:p>
    <w:p>
      <w:pPr>
        <w:pStyle w:val="Heading1"/>
        <w:ind w:firstLine="720" w:start="0" w:end="0"/>
        <w:rPr>
          <w:u w:val="single"/>
        </w:rPr>
      </w:pPr>
      <w:r>
        <w:rPr>
          <w:u w:val="single"/>
        </w:rPr>
        <w:t>PQPLLC 234MW Barge-mounted Plant</w:t>
      </w:r>
    </w:p>
    <w:p>
      <w:pPr>
        <w:pStyle w:val="Normal"/>
        <w:jc w:val="center"/>
        <w:rPr>
          <w:sz w:val="24"/>
          <w:u w:val="single"/>
        </w:rPr>
      </w:pPr>
      <w:r>
        <w:rPr>
          <w:sz w:val="24"/>
          <w:u w:val="single"/>
        </w:rPr>
      </w:r>
    </w:p>
    <w:p>
      <w:pPr>
        <w:pStyle w:val="Normal"/>
        <w:ind w:start="720" w:end="0"/>
        <w:rPr>
          <w:sz w:val="24"/>
        </w:rPr>
      </w:pPr>
      <w:r>
        <w:rPr>
          <w:sz w:val="24"/>
        </w:rPr>
        <w:t>The project is challenging Guatemala’s export restrictions to El Salvador (El Salvador absorbs a significant portion of the merchant capacity).</w:t>
      </w:r>
    </w:p>
    <w:p>
      <w:pPr>
        <w:pStyle w:val="Normal"/>
        <w:ind w:start="360" w:end="0"/>
        <w:rPr>
          <w:sz w:val="24"/>
        </w:rPr>
      </w:pPr>
      <w:r>
        <w:rPr>
          <w:sz w:val="24"/>
        </w:rPr>
      </w:r>
    </w:p>
    <w:p>
      <w:pPr>
        <w:pStyle w:val="Heading1"/>
        <w:ind w:hanging="0" w:start="0"/>
        <w:rPr/>
      </w:pPr>
      <w:r>
        <w:rPr/>
        <w:t>X.</w:t>
        <w:tab/>
      </w:r>
      <w:r>
        <w:rPr>
          <w:b/>
        </w:rPr>
        <w:t>Panama</w:t>
      </w:r>
      <w:r>
        <w:rPr/>
        <w:t xml:space="preserve"> (Francisco Pinto-Leite)</w:t>
      </w:r>
    </w:p>
    <w:p>
      <w:pPr>
        <w:pStyle w:val="Normal"/>
        <w:ind w:firstLine="720" w:end="0"/>
        <w:rPr>
          <w:sz w:val="24"/>
          <w:u w:val="single"/>
        </w:rPr>
      </w:pPr>
      <w:r>
        <w:rPr>
          <w:sz w:val="24"/>
          <w:u w:val="single"/>
        </w:rPr>
        <w:t>Combined cycle 330 MW power plant.</w:t>
      </w:r>
    </w:p>
    <w:p>
      <w:pPr>
        <w:pStyle w:val="Normal"/>
        <w:rPr>
          <w:sz w:val="24"/>
          <w:u w:val="single"/>
        </w:rPr>
      </w:pPr>
      <w:r>
        <w:rPr>
          <w:sz w:val="24"/>
          <w:u w:val="single"/>
        </w:rPr>
      </w:r>
    </w:p>
    <w:p>
      <w:pPr>
        <w:pStyle w:val="Normal"/>
        <w:ind w:start="720" w:end="0"/>
        <w:rPr>
          <w:sz w:val="24"/>
        </w:rPr>
      </w:pPr>
      <w:r>
        <w:rPr>
          <w:sz w:val="24"/>
        </w:rPr>
        <w:t>The project has commenced legal action challenging resolutions by the regulator that directly impacted the PPA’s.  At the end of last year, the Supreme Court in Panama granted injunctive relief and suspended the resolutions.  Both the regulator and the dispatch entity failed to comply with the Supreme Court’s order and the project filed for contempt.  An all-inclusive settlement is being negotiated with the government.  Parties are still apart on a number of issues.</w:t>
      </w:r>
    </w:p>
    <w:p>
      <w:pPr>
        <w:pStyle w:val="Normal"/>
        <w:ind w:start="360" w:end="0"/>
        <w:rPr>
          <w:sz w:val="24"/>
        </w:rPr>
      </w:pPr>
      <w:r>
        <w:rPr>
          <w:sz w:val="24"/>
        </w:rPr>
      </w:r>
    </w:p>
    <w:p>
      <w:pPr>
        <w:pStyle w:val="Heading5"/>
        <w:ind w:hanging="0" w:start="0"/>
        <w:rPr/>
      </w:pPr>
      <w:r>
        <w:rPr>
          <w:rFonts w:cs="Times New Roman" w:ascii="Times New Roman" w:hAnsi="Times New Roman"/>
          <w:b w:val="false"/>
        </w:rPr>
        <w:t>XI.</w:t>
      </w:r>
      <w:r>
        <w:rPr>
          <w:rFonts w:cs="Times New Roman" w:ascii="Times New Roman" w:hAnsi="Times New Roman"/>
        </w:rPr>
        <w:tab/>
        <w:t>Venezuela</w:t>
      </w:r>
      <w:r>
        <w:rPr>
          <w:rFonts w:cs="Times New Roman" w:ascii="Times New Roman" w:hAnsi="Times New Roman"/>
          <w:b w:val="false"/>
        </w:rPr>
        <w:t xml:space="preserve"> (Miguel Mendoza)</w:t>
      </w:r>
    </w:p>
    <w:p>
      <w:pPr>
        <w:pStyle w:val="Normal"/>
        <w:tabs>
          <w:tab w:val="clear" w:pos="720"/>
          <w:tab w:val="left" w:pos="360" w:leader="none"/>
        </w:tabs>
        <w:rPr>
          <w:sz w:val="24"/>
        </w:rPr>
      </w:pPr>
      <w:r>
        <w:rPr>
          <w:sz w:val="24"/>
        </w:rPr>
        <w:tab/>
        <w:tab/>
        <w:t>A.</w:t>
        <w:tab/>
        <w:t>Accro</w:t>
      </w:r>
    </w:p>
    <w:p>
      <w:pPr>
        <w:pStyle w:val="Normal"/>
        <w:tabs>
          <w:tab w:val="clear" w:pos="720"/>
          <w:tab w:val="left" w:pos="360" w:leader="none"/>
        </w:tabs>
        <w:ind w:hanging="1440" w:start="1440" w:end="0"/>
        <w:rPr/>
      </w:pPr>
      <w:r>
        <w:rPr>
          <w:sz w:val="24"/>
        </w:rPr>
        <w:tab/>
        <w:tab/>
      </w:r>
      <w:r>
        <w:rPr>
          <w:sz w:val="24"/>
          <w:u w:val="single"/>
        </w:rPr>
        <w:t>Transcanada sale to Williams and potential acquisition by Williams of Enron’s 49.25% interest in Accro</w:t>
      </w:r>
    </w:p>
    <w:p>
      <w:pPr>
        <w:pStyle w:val="Normal"/>
        <w:tabs>
          <w:tab w:val="clear" w:pos="720"/>
          <w:tab w:val="left" w:pos="360" w:leader="none"/>
        </w:tabs>
        <w:ind w:hanging="1440" w:start="1440" w:end="0"/>
        <w:rPr>
          <w:sz w:val="24"/>
          <w:u w:val="single"/>
        </w:rPr>
      </w:pPr>
      <w:r>
        <w:rPr>
          <w:sz w:val="24"/>
          <w:u w:val="single"/>
        </w:rPr>
      </w:r>
    </w:p>
    <w:p>
      <w:pPr>
        <w:pStyle w:val="Normal"/>
        <w:ind w:start="1440" w:end="0"/>
        <w:rPr>
          <w:sz w:val="24"/>
        </w:rPr>
      </w:pPr>
      <w:r>
        <w:rPr>
          <w:sz w:val="24"/>
        </w:rPr>
        <w:t>Lender’s (OPIC/EXIM) counsel and internal legal department are currently reviewing documentation in connection with Transcanada sale to Williams, including assignment of project contracts. The transaction is pending lenders approval.</w:t>
      </w:r>
    </w:p>
    <w:p>
      <w:pPr>
        <w:pStyle w:val="Normal"/>
        <w:rPr>
          <w:sz w:val="24"/>
        </w:rPr>
      </w:pPr>
      <w:r>
        <w:rPr>
          <w:sz w:val="24"/>
        </w:rPr>
      </w:r>
    </w:p>
    <w:p>
      <w:pPr>
        <w:pStyle w:val="Normal"/>
        <w:numPr>
          <w:ilvl w:val="0"/>
          <w:numId w:val="9"/>
        </w:numPr>
        <w:rPr>
          <w:sz w:val="24"/>
        </w:rPr>
      </w:pPr>
      <w:r>
        <w:rPr>
          <w:sz w:val="24"/>
          <w:u w:val="single"/>
        </w:rPr>
        <w:t>Bachaquero</w:t>
      </w:r>
    </w:p>
    <w:p>
      <w:pPr>
        <w:pStyle w:val="Normal"/>
        <w:rPr>
          <w:sz w:val="24"/>
        </w:rPr>
      </w:pPr>
      <w:r>
        <w:rPr>
          <w:sz w:val="24"/>
        </w:rPr>
      </w:r>
    </w:p>
    <w:p>
      <w:pPr>
        <w:pStyle w:val="Normal"/>
        <w:ind w:start="1440" w:end="0"/>
        <w:rPr>
          <w:sz w:val="24"/>
        </w:rPr>
      </w:pPr>
      <w:r>
        <w:rPr>
          <w:sz w:val="24"/>
        </w:rPr>
        <w:t>The Enron commercial team is still discussing potential sale to our partner, Hanover.</w:t>
      </w:r>
    </w:p>
    <w:p>
      <w:pPr>
        <w:pStyle w:val="Normal"/>
        <w:rPr>
          <w:sz w:val="24"/>
        </w:rPr>
      </w:pPr>
      <w:r>
        <w:rPr>
          <w:sz w:val="24"/>
        </w:rPr>
      </w:r>
    </w:p>
    <w:p>
      <w:pPr>
        <w:pStyle w:val="Normal"/>
        <w:numPr>
          <w:ilvl w:val="0"/>
          <w:numId w:val="9"/>
        </w:numPr>
        <w:rPr>
          <w:sz w:val="24"/>
        </w:rPr>
      </w:pPr>
      <w:r>
        <w:rPr>
          <w:sz w:val="24"/>
          <w:u w:val="single"/>
        </w:rPr>
        <w:t>Calife</w:t>
      </w:r>
    </w:p>
    <w:p>
      <w:pPr>
        <w:pStyle w:val="Normal"/>
        <w:rPr>
          <w:sz w:val="24"/>
        </w:rPr>
      </w:pPr>
      <w:r>
        <w:rPr>
          <w:sz w:val="24"/>
        </w:rPr>
      </w:r>
    </w:p>
    <w:p>
      <w:pPr>
        <w:pStyle w:val="Normal"/>
        <w:ind w:start="1440" w:end="0"/>
        <w:rPr>
          <w:sz w:val="24"/>
        </w:rPr>
      </w:pPr>
      <w:r>
        <w:rPr>
          <w:sz w:val="24"/>
        </w:rPr>
        <w:t>We reviewed and prepared comments to first draft of lease agreement presented by Cadafe.  We also met last week with Cadafe general counsel to discuss comments.</w:t>
      </w:r>
    </w:p>
    <w:p>
      <w:pPr>
        <w:pStyle w:val="Normal"/>
        <w:rPr>
          <w:sz w:val="24"/>
        </w:rPr>
      </w:pPr>
      <w:r>
        <w:rPr>
          <w:sz w:val="24"/>
        </w:rPr>
      </w:r>
    </w:p>
    <w:p>
      <w:pPr>
        <w:pStyle w:val="Normal"/>
        <w:rPr/>
      </w:pPr>
      <w:r>
        <w:rPr>
          <w:sz w:val="24"/>
        </w:rPr>
        <w:t>XII.</w:t>
        <w:tab/>
      </w:r>
      <w:r>
        <w:rPr>
          <w:b/>
          <w:sz w:val="24"/>
        </w:rPr>
        <w:t>Colombia</w:t>
      </w:r>
      <w:r>
        <w:rPr>
          <w:sz w:val="24"/>
        </w:rPr>
        <w:t xml:space="preserve"> (Miguel Mendoza)</w:t>
      </w:r>
    </w:p>
    <w:p>
      <w:pPr>
        <w:pStyle w:val="Heading8"/>
        <w:rPr/>
      </w:pPr>
      <w:r>
        <w:rPr/>
        <w:t>Centragas</w:t>
      </w:r>
    </w:p>
    <w:p>
      <w:pPr>
        <w:pStyle w:val="Normal"/>
        <w:ind w:start="720" w:end="0"/>
        <w:rPr>
          <w:sz w:val="24"/>
        </w:rPr>
      </w:pPr>
      <w:r>
        <w:rPr>
          <w:sz w:val="24"/>
        </w:rPr>
      </w:r>
    </w:p>
    <w:p>
      <w:pPr>
        <w:pStyle w:val="Normal"/>
        <w:numPr>
          <w:ilvl w:val="0"/>
          <w:numId w:val="2"/>
        </w:numPr>
        <w:rPr>
          <w:sz w:val="24"/>
        </w:rPr>
      </w:pPr>
      <w:r>
        <w:rPr>
          <w:sz w:val="24"/>
          <w:u w:val="single"/>
        </w:rPr>
        <w:t>Tax Litigation</w:t>
      </w:r>
    </w:p>
    <w:p>
      <w:pPr>
        <w:pStyle w:val="Normal"/>
        <w:rPr>
          <w:sz w:val="24"/>
        </w:rPr>
      </w:pPr>
      <w:r>
        <w:rPr>
          <w:sz w:val="24"/>
        </w:rPr>
      </w:r>
    </w:p>
    <w:p>
      <w:pPr>
        <w:pStyle w:val="Normal"/>
        <w:ind w:start="1440" w:end="0"/>
        <w:rPr>
          <w:sz w:val="24"/>
        </w:rPr>
      </w:pPr>
      <w:r>
        <w:rPr>
          <w:sz w:val="24"/>
        </w:rPr>
        <w:t>The project filed exemptions against DIAN’s (Colombian IRS) request for mandatory payment.</w:t>
      </w:r>
    </w:p>
    <w:p>
      <w:pPr>
        <w:pStyle w:val="Normal"/>
        <w:rPr>
          <w:sz w:val="24"/>
        </w:rPr>
      </w:pPr>
      <w:r>
        <w:rPr>
          <w:sz w:val="24"/>
        </w:rPr>
      </w:r>
    </w:p>
    <w:p>
      <w:pPr>
        <w:pStyle w:val="Normal"/>
        <w:ind w:start="1440" w:end="0"/>
        <w:rPr>
          <w:sz w:val="24"/>
        </w:rPr>
      </w:pPr>
      <w:r>
        <w:rPr>
          <w:sz w:val="24"/>
        </w:rPr>
        <w:t>Centragas met with DIAN officials to discuss potential settlement of tax claim.  New tax law authorizes DIAN to settle tax claims for 75% of total amount in controversy and without interest as an incentive for taxpayers to settle tax disputes.  The EGA commercial team is analyzing a potential settlement offer to DIAN.  Early settlement will save substantial cost in legal fees and litigation related expenses.</w:t>
      </w:r>
    </w:p>
    <w:p>
      <w:pPr>
        <w:pStyle w:val="Normal"/>
        <w:rPr>
          <w:sz w:val="24"/>
        </w:rPr>
      </w:pPr>
      <w:r>
        <w:rPr>
          <w:sz w:val="24"/>
        </w:rPr>
      </w:r>
    </w:p>
    <w:p>
      <w:pPr>
        <w:pStyle w:val="Normal"/>
        <w:numPr>
          <w:ilvl w:val="0"/>
          <w:numId w:val="2"/>
        </w:numPr>
        <w:rPr>
          <w:sz w:val="24"/>
        </w:rPr>
      </w:pPr>
      <w:r>
        <w:rPr>
          <w:sz w:val="24"/>
          <w:u w:val="single"/>
        </w:rPr>
        <w:t>Potential sell down of Enron’s equity interest in Centragas</w:t>
      </w:r>
    </w:p>
    <w:p>
      <w:pPr>
        <w:pStyle w:val="Normal"/>
        <w:rPr>
          <w:sz w:val="24"/>
        </w:rPr>
      </w:pPr>
      <w:r>
        <w:rPr>
          <w:sz w:val="24"/>
        </w:rPr>
      </w:r>
    </w:p>
    <w:p>
      <w:pPr>
        <w:pStyle w:val="Normal"/>
        <w:ind w:start="1440" w:end="0"/>
        <w:rPr>
          <w:sz w:val="24"/>
        </w:rPr>
      </w:pPr>
      <w:r>
        <w:rPr>
          <w:sz w:val="24"/>
        </w:rPr>
        <w:t>A Confidentiality Agreement signed with Corfivalle (Colombian investment bank).  We are preparing for Corfivalle initial due diligence.</w:t>
      </w:r>
    </w:p>
    <w:p>
      <w:pPr>
        <w:pStyle w:val="Normal"/>
        <w:rPr>
          <w:sz w:val="24"/>
        </w:rPr>
      </w:pPr>
      <w:r>
        <w:rPr>
          <w:sz w:val="24"/>
        </w:rPr>
      </w:r>
      <w:r>
        <w:br w:type="page"/>
      </w:r>
    </w:p>
    <w:p>
      <w:pPr>
        <w:pStyle w:val="Normal"/>
        <w:rPr/>
      </w:pPr>
      <w:r>
        <w:rPr>
          <w:color w:val="000000"/>
          <w:sz w:val="24"/>
          <w:lang w:eastAsia="en-US"/>
        </w:rPr>
        <w:t>XIII.</w:t>
        <w:tab/>
      </w:r>
      <w:r>
        <w:rPr>
          <w:b/>
          <w:color w:val="000000"/>
          <w:sz w:val="24"/>
          <w:lang w:eastAsia="en-US"/>
        </w:rPr>
        <w:t>Philippines</w:t>
      </w:r>
      <w:r>
        <w:rPr>
          <w:color w:val="000000"/>
          <w:sz w:val="24"/>
          <w:lang w:eastAsia="en-US"/>
        </w:rPr>
        <w:t xml:space="preserve"> (Angel Esguerra)</w:t>
      </w:r>
    </w:p>
    <w:p>
      <w:pPr>
        <w:pStyle w:val="Heading9"/>
        <w:numPr>
          <w:ilvl w:val="0"/>
          <w:numId w:val="6"/>
        </w:numPr>
        <w:spacing w:lineRule="auto" w:line="240"/>
        <w:rPr/>
      </w:pPr>
      <w:r>
        <w:rPr/>
        <w:t>Bulacan Biomass Power Project</w:t>
      </w:r>
    </w:p>
    <w:p>
      <w:pPr>
        <w:pStyle w:val="Header"/>
        <w:tabs>
          <w:tab w:val="clear" w:pos="4320"/>
          <w:tab w:val="clear" w:pos="8640"/>
        </w:tabs>
        <w:rPr/>
      </w:pPr>
      <w:r>
        <w:rPr/>
      </w:r>
    </w:p>
    <w:p>
      <w:pPr>
        <w:pStyle w:val="Normal"/>
        <w:ind w:start="1440" w:end="0"/>
        <w:rPr>
          <w:color w:val="000000"/>
          <w:sz w:val="24"/>
          <w:lang w:eastAsia="en-US"/>
        </w:rPr>
      </w:pPr>
      <w:r>
        <w:rPr>
          <w:color w:val="000000"/>
          <w:sz w:val="24"/>
          <w:lang w:eastAsia="en-US"/>
        </w:rPr>
        <w:t xml:space="preserve">The project team members are (a) meeting with the lenders’ and their counsel in Singapore on the terms of the project financing agreements, (b) discussing the project structure with Enron’s tax department, and (c) conferring by telephone with potential buyers of the majority of Enron’s equity at project completion date.  Enron’s Philippine counsel are also conferring with the lenders’ Philippine counsel regarding the list of local permits and consents that are conditions precedent to financial closing. Consultants engaged by Enron and/or its joint developer, Cypress Energy, continue to pursue some of the local permits and consents. </w:t>
      </w:r>
    </w:p>
    <w:p>
      <w:pPr>
        <w:pStyle w:val="Normal"/>
        <w:rPr>
          <w:color w:val="000000"/>
          <w:sz w:val="24"/>
          <w:lang w:eastAsia="en-US"/>
        </w:rPr>
      </w:pPr>
      <w:r>
        <w:rPr>
          <w:color w:val="000000"/>
          <w:sz w:val="24"/>
          <w:lang w:eastAsia="en-US"/>
        </w:rPr>
      </w:r>
    </w:p>
    <w:p>
      <w:pPr>
        <w:pStyle w:val="Normal"/>
        <w:numPr>
          <w:ilvl w:val="0"/>
          <w:numId w:val="6"/>
        </w:numPr>
        <w:rPr>
          <w:color w:val="000000"/>
          <w:sz w:val="24"/>
          <w:u w:val="single"/>
          <w:lang w:eastAsia="en-US"/>
        </w:rPr>
      </w:pPr>
      <w:r>
        <w:rPr>
          <w:color w:val="000000"/>
          <w:sz w:val="24"/>
          <w:u w:val="single"/>
          <w:lang w:eastAsia="en-US"/>
        </w:rPr>
        <w:t>Batangas Power Plant</w:t>
      </w:r>
    </w:p>
    <w:p>
      <w:pPr>
        <w:pStyle w:val="Normal"/>
        <w:rPr>
          <w:color w:val="000000"/>
          <w:sz w:val="24"/>
          <w:u w:val="single"/>
          <w:lang w:eastAsia="en-US"/>
        </w:rPr>
      </w:pPr>
      <w:r>
        <w:rPr>
          <w:color w:val="000000"/>
          <w:sz w:val="24"/>
          <w:u w:val="single"/>
          <w:lang w:eastAsia="en-US"/>
        </w:rPr>
      </w:r>
    </w:p>
    <w:p>
      <w:pPr>
        <w:pStyle w:val="BodyText2"/>
        <w:spacing w:before="0" w:after="0"/>
        <w:ind w:start="1440" w:end="0"/>
        <w:rPr/>
      </w:pPr>
      <w:r>
        <w:rPr/>
        <w:t>Enron Philippines is studying the possible refinancing of the remaining project debt (ADB and OPIC) with a loan from Citibank so as, among others, to resolve issues raised by ADB regarding environmental regulations.</w:t>
      </w:r>
    </w:p>
    <w:p>
      <w:pPr>
        <w:pStyle w:val="Normal"/>
        <w:rPr>
          <w:color w:val="000000"/>
          <w:sz w:val="24"/>
          <w:lang w:eastAsia="en-US"/>
        </w:rPr>
      </w:pPr>
      <w:r>
        <w:rPr>
          <w:color w:val="000000"/>
          <w:sz w:val="24"/>
          <w:lang w:eastAsia="en-US"/>
        </w:rPr>
      </w:r>
    </w:p>
    <w:p>
      <w:pPr>
        <w:pStyle w:val="Normal"/>
        <w:numPr>
          <w:ilvl w:val="0"/>
          <w:numId w:val="6"/>
        </w:numPr>
        <w:rPr>
          <w:color w:val="000000"/>
          <w:sz w:val="24"/>
          <w:u w:val="single"/>
          <w:lang w:eastAsia="en-US"/>
        </w:rPr>
      </w:pPr>
      <w:r>
        <w:rPr>
          <w:color w:val="000000"/>
          <w:sz w:val="24"/>
          <w:u w:val="single"/>
          <w:lang w:eastAsia="en-US"/>
        </w:rPr>
        <w:t>Subic Power Plant</w:t>
      </w:r>
    </w:p>
    <w:p>
      <w:pPr>
        <w:pStyle w:val="Normal"/>
        <w:ind w:start="1440" w:end="0"/>
        <w:rPr>
          <w:color w:val="000000"/>
          <w:sz w:val="24"/>
          <w:u w:val="single"/>
          <w:lang w:eastAsia="en-US"/>
        </w:rPr>
      </w:pPr>
      <w:r>
        <w:rPr>
          <w:color w:val="000000"/>
          <w:sz w:val="24"/>
          <w:u w:val="single"/>
          <w:lang w:eastAsia="en-US"/>
        </w:rPr>
      </w:r>
    </w:p>
    <w:p>
      <w:pPr>
        <w:pStyle w:val="BodyText2"/>
        <w:spacing w:before="0" w:after="0"/>
        <w:ind w:start="1440" w:end="0"/>
        <w:rPr/>
      </w:pPr>
      <w:r>
        <w:rPr/>
        <w:t xml:space="preserve">External litigation counsel continue to present evidence (including testimony of internal counsel and numerous documents) in cases filed with the Philippine Court of Tax Appeals to contest tax assessments by the Philippine Bureau of Internal Revenue. </w:t>
      </w:r>
    </w:p>
    <w:p>
      <w:pPr>
        <w:pStyle w:val="BodyText2"/>
        <w:spacing w:before="0" w:after="0"/>
        <w:ind w:start="1440" w:end="0"/>
        <w:rPr/>
      </w:pPr>
      <w:r>
        <w:rPr/>
      </w:r>
    </w:p>
    <w:p>
      <w:pPr>
        <w:pStyle w:val="Normal"/>
        <w:ind w:start="1440" w:end="0"/>
        <w:rPr>
          <w:color w:val="000000"/>
          <w:sz w:val="24"/>
          <w:lang w:eastAsia="en-US"/>
        </w:rPr>
      </w:pPr>
      <w:r>
        <w:rPr>
          <w:color w:val="000000"/>
          <w:sz w:val="24"/>
          <w:lang w:eastAsia="en-US"/>
        </w:rPr>
        <w:t>Internal counsel terminated preliminary conferences with plaintiffs in a labor action against Subic. Engagement of external counsel may be necessary for the trial of the case.</w:t>
      </w:r>
    </w:p>
    <w:p>
      <w:pPr>
        <w:pStyle w:val="Normal"/>
        <w:rPr>
          <w:sz w:val="24"/>
        </w:rPr>
      </w:pPr>
      <w:r>
        <w:rPr>
          <w:sz w:val="24"/>
        </w:rPr>
      </w:r>
    </w:p>
    <w:p>
      <w:pPr>
        <w:pStyle w:val="Normal"/>
        <w:keepNext w:val="true"/>
        <w:keepLines/>
        <w:numPr>
          <w:ilvl w:val="0"/>
          <w:numId w:val="3"/>
        </w:numPr>
        <w:rPr>
          <w:color w:val="000000"/>
          <w:sz w:val="24"/>
          <w:lang w:eastAsia="en-US"/>
        </w:rPr>
      </w:pPr>
      <w:r>
        <w:rPr>
          <w:b/>
          <w:color w:val="000000"/>
          <w:sz w:val="24"/>
          <w:lang w:eastAsia="en-US"/>
        </w:rPr>
        <w:t>Guam</w:t>
      </w:r>
      <w:r>
        <w:rPr>
          <w:color w:val="000000"/>
          <w:sz w:val="24"/>
          <w:lang w:eastAsia="en-US"/>
        </w:rPr>
        <w:t xml:space="preserve"> (Angel Esguerra)</w:t>
      </w:r>
    </w:p>
    <w:p>
      <w:pPr>
        <w:pStyle w:val="Normal"/>
        <w:keepNext w:val="true"/>
        <w:keepLines/>
        <w:ind w:start="720" w:end="0"/>
        <w:rPr>
          <w:color w:val="000000"/>
          <w:sz w:val="24"/>
          <w:u w:val="single"/>
          <w:lang w:eastAsia="en-US"/>
        </w:rPr>
      </w:pPr>
      <w:r>
        <w:rPr>
          <w:color w:val="000000"/>
          <w:sz w:val="24"/>
          <w:u w:val="single"/>
          <w:lang w:eastAsia="en-US"/>
        </w:rPr>
        <w:t>Piti Power Plant</w:t>
      </w:r>
    </w:p>
    <w:p>
      <w:pPr>
        <w:pStyle w:val="Normal"/>
        <w:keepNext w:val="true"/>
        <w:keepLines/>
        <w:rPr>
          <w:color w:val="000000"/>
          <w:sz w:val="24"/>
          <w:u w:val="single"/>
          <w:lang w:eastAsia="en-US"/>
        </w:rPr>
      </w:pPr>
      <w:r>
        <w:rPr>
          <w:color w:val="000000"/>
          <w:sz w:val="24"/>
          <w:u w:val="single"/>
          <w:lang w:eastAsia="en-US"/>
        </w:rPr>
      </w:r>
    </w:p>
    <w:p>
      <w:pPr>
        <w:pStyle w:val="BodyText2"/>
        <w:spacing w:before="0" w:after="0"/>
        <w:ind w:start="720" w:end="0"/>
        <w:rPr/>
      </w:pPr>
      <w:r>
        <w:rPr/>
        <w:t xml:space="preserve">The project is considering the replacement of all the cash in the debt service reserve account with a letter of credit obtained by Enron Corp. Counsel is drafting a reimbursement agreement among the joint venture partners regarding the terms and conditions of Enron's return of Tomen's share in the this cash. </w:t>
      </w:r>
    </w:p>
    <w:sectPr>
      <w:headerReference w:type="default" r:id="rId2"/>
      <w:type w:val="nextPage"/>
      <w:pgSz w:w="12240" w:h="15840"/>
      <w:pgMar w:left="1800" w:right="1800" w:gutter="0" w:header="720" w:top="144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Attorney-Client Privileged Communication</w:t>
    </w:r>
  </w:p>
  <w:p>
    <w:pPr>
      <w:pStyle w:val="Header"/>
      <w:jc w:val="end"/>
      <w:rPr>
        <w:b/>
      </w:rPr>
    </w:pPr>
    <w:r>
      <w:rPr>
        <w:b/>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4"/>
      <w:numFmt w:val="upperRoman"/>
      <w:lvlText w:val="%1."/>
      <w:lvlJc w:val="start"/>
      <w:pPr>
        <w:tabs>
          <w:tab w:val="num" w:pos="720"/>
        </w:tabs>
        <w:ind w:start="720"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Letter"/>
      <w:lvlText w:val="%1."/>
      <w:lvlJc w:val="start"/>
      <w:pPr>
        <w:tabs>
          <w:tab w:val="num" w:pos="1440"/>
        </w:tabs>
        <w:ind w:start="1440" w:hanging="720"/>
      </w:pPr>
      <w:rPr>
        <w:u w:val="none"/>
      </w:rPr>
    </w:lvl>
  </w:abstractNum>
  <w:abstractNum w:abstractNumId="7">
    <w:lvl w:ilvl="0">
      <w:start w:val="5"/>
      <w:numFmt w:val="upperRoman"/>
      <w:lvlText w:val="%1."/>
      <w:lvlJc w:val="start"/>
      <w:pPr>
        <w:tabs>
          <w:tab w:val="num" w:pos="720"/>
        </w:tabs>
        <w:ind w:start="720" w:hanging="720"/>
      </w:pPr>
      <w:rPr/>
    </w:lvl>
  </w:abstractNum>
  <w:abstractNum w:abstractNumId="8">
    <w:lvl w:ilvl="0">
      <w:start w:val="8"/>
      <w:numFmt w:val="upperRoman"/>
      <w:lvlText w:val="%1."/>
      <w:lvlJc w:val="start"/>
      <w:pPr>
        <w:tabs>
          <w:tab w:val="num" w:pos="720"/>
        </w:tabs>
        <w:ind w:start="720" w:hanging="720"/>
      </w:pPr>
      <w:rPr/>
    </w:lvl>
  </w:abstractNum>
  <w:abstractNum w:abstractNumId="9">
    <w:lvl w:ilvl="0">
      <w:start w:val="2"/>
      <w:numFmt w:val="upperLetter"/>
      <w:lvlText w:val="%1."/>
      <w:lvlJc w:val="start"/>
      <w:pPr>
        <w:tabs>
          <w:tab w:val="num" w:pos="1440"/>
        </w:tabs>
        <w:ind w:start="1440" w:hanging="720"/>
      </w:pPr>
      <w:rPr/>
    </w:lvl>
  </w:abstractNum>
  <w:abstractNum w:abstractNumId="10">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ind w:firstLine="720" w:start="0" w:end="0"/>
      <w:outlineLvl w:val="2"/>
    </w:pPr>
    <w:rPr>
      <w:sz w:val="24"/>
      <w:u w:val="single"/>
    </w:rPr>
  </w:style>
  <w:style w:type="paragraph" w:styleId="Heading4">
    <w:name w:val="heading 4"/>
    <w:basedOn w:val="Normal"/>
    <w:next w:val="Normal"/>
    <w:qFormat/>
    <w:pPr>
      <w:keepNext w:val="true"/>
      <w:numPr>
        <w:ilvl w:val="3"/>
        <w:numId w:val="1"/>
      </w:numPr>
      <w:spacing w:lineRule="atLeast" w:line="240"/>
      <w:ind w:firstLine="720" w:start="0" w:end="0"/>
      <w:jc w:val="both"/>
      <w:outlineLvl w:val="3"/>
    </w:pPr>
    <w:rPr>
      <w:color w:val="000000"/>
      <w:sz w:val="22"/>
      <w:u w:val="single"/>
      <w:lang w:eastAsia="en-US"/>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ind w:firstLine="720" w:start="0" w:end="0"/>
      <w:outlineLvl w:val="6"/>
    </w:pPr>
    <w:rPr>
      <w:sz w:val="24"/>
    </w:rPr>
  </w:style>
  <w:style w:type="paragraph" w:styleId="Heading8">
    <w:name w:val="heading 8"/>
    <w:basedOn w:val="Normal"/>
    <w:next w:val="Normal"/>
    <w:qFormat/>
    <w:pPr>
      <w:keepNext w:val="true"/>
      <w:numPr>
        <w:ilvl w:val="7"/>
        <w:numId w:val="1"/>
      </w:numPr>
      <w:ind w:hanging="0" w:start="720" w:end="0"/>
      <w:outlineLvl w:val="7"/>
    </w:pPr>
    <w:rPr>
      <w:sz w:val="24"/>
      <w:u w:val="single"/>
    </w:rPr>
  </w:style>
  <w:style w:type="paragraph" w:styleId="Heading9">
    <w:name w:val="heading 9"/>
    <w:basedOn w:val="Normal"/>
    <w:next w:val="Normal"/>
    <w:qFormat/>
    <w:pPr>
      <w:keepNext w:val="true"/>
      <w:numPr>
        <w:ilvl w:val="8"/>
        <w:numId w:val="1"/>
      </w:numPr>
      <w:spacing w:lineRule="atLeast" w:line="240"/>
      <w:ind w:firstLine="720" w:start="0" w:end="0"/>
      <w:outlineLvl w:val="8"/>
    </w:pPr>
    <w:rPr>
      <w:color w:val="000000"/>
      <w:sz w:val="24"/>
      <w:u w:val="single"/>
      <w:lang w:eastAsia="en-US"/>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u w:val="none"/>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9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720" w:start="1440" w:end="0"/>
    </w:pPr>
    <w:rPr>
      <w:sz w:val="24"/>
    </w:rPr>
  </w:style>
  <w:style w:type="paragraph" w:styleId="BodyTextIndent3">
    <w:name w:val="Body Text Indent 3"/>
    <w:basedOn w:val="Normal"/>
    <w:qFormat/>
    <w:pPr>
      <w:ind w:firstLine="720" w:start="720" w:end="0"/>
    </w:pPr>
    <w:rPr>
      <w:sz w:val="24"/>
    </w:rPr>
  </w:style>
  <w:style w:type="paragraph" w:styleId="BodyText2">
    <w:name w:val="Body Text 2"/>
    <w:basedOn w:val="Normal"/>
    <w:qFormat/>
    <w:pPr>
      <w:spacing w:before="0" w:after="120"/>
    </w:pPr>
    <w:rPr>
      <w:color w:val="000000"/>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2001-02-15T18:03:00Z</dcterms:created>
  <dc:creator>EI</dc:creator>
  <dc:description/>
  <dc:language>en-CA</dc:language>
  <cp:lastModifiedBy>Bruce D. Lundstrom</cp:lastModifiedBy>
  <cp:lastPrinted>2001-02-15T13:56:00Z</cp:lastPrinted>
  <dcterms:modified xsi:type="dcterms:W3CDTF">2001-02-15T18:56:00Z</dcterms:modified>
  <cp:revision>14</cp:revision>
  <dc:subject/>
  <dc:title>Enron Nigeria Power Holding Limited</dc:title>
</cp:coreProperties>
</file>