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rFonts w:ascii="CG Times;Times New Roman" w:hAnsi="CG Times;Times New Roman" w:cs="CG Times;Times New Roman"/>
          <w:sz w:val="20"/>
        </w:rPr>
      </w:pPr>
      <w:r>
        <w:rPr>
          <w:rFonts w:cs="CG Times;Times New Roman" w:ascii="CG Times;Times New Roman" w:hAnsi="CG Times;Times New Roman"/>
          <w:sz w:val="20"/>
        </w:rPr>
        <w:t>Version 1 - 10 August 1999</w:t>
      </w:r>
    </w:p>
    <w:p>
      <w:pPr>
        <w:pStyle w:val="Normal"/>
        <w:jc w:val="center"/>
        <w:rPr>
          <w:rFonts w:ascii="Arial" w:hAnsi="Arial" w:cs="Arial"/>
          <w:b/>
          <w:sz w:val="20"/>
        </w:rPr>
      </w:pPr>
      <w:r>
        <w:rPr>
          <w:rFonts w:cs="Arial" w:ascii="Arial" w:hAnsi="Arial"/>
          <w:b/>
          <w:sz w:val="20"/>
        </w:rPr>
        <w:t>ENRON CAPITAL &amp; TRADE RESOURCES INTERNATIONAL CORP. ("Enron")</w:t>
      </w:r>
    </w:p>
    <w:p>
      <w:pPr>
        <w:pStyle w:val="Normal"/>
        <w:jc w:val="center"/>
        <w:rPr>
          <w:rFonts w:ascii="Arial" w:hAnsi="Arial" w:cs="Arial"/>
          <w:b/>
          <w:sz w:val="20"/>
        </w:rPr>
      </w:pPr>
      <w:r>
        <w:rPr>
          <w:rFonts w:cs="Arial" w:ascii="Arial" w:hAnsi="Arial"/>
          <w:b/>
          <w:sz w:val="20"/>
        </w:rPr>
        <w:t>GENERAL TERMS AND CONDITIONS ("GTC")</w:t>
      </w:r>
    </w:p>
    <w:p>
      <w:pPr>
        <w:pStyle w:val="Normal"/>
        <w:jc w:val="center"/>
        <w:rPr>
          <w:rFonts w:ascii="Arial" w:hAnsi="Arial" w:cs="Arial"/>
          <w:b/>
          <w:sz w:val="20"/>
        </w:rPr>
      </w:pPr>
      <w:r>
        <w:rPr>
          <w:rFonts w:cs="Arial" w:ascii="Arial" w:hAnsi="Arial"/>
          <w:b/>
          <w:sz w:val="20"/>
        </w:rPr>
        <w:t>U.K. POWER - E.F.A.</w:t>
      </w:r>
    </w:p>
    <w:p>
      <w:pPr>
        <w:pStyle w:val="Normal"/>
        <w:jc w:val="both"/>
        <w:rPr>
          <w:rFonts w:ascii="Arial" w:hAnsi="Arial" w:cs="Arial"/>
          <w:sz w:val="20"/>
        </w:rPr>
      </w:pPr>
      <w:r>
        <w:rPr>
          <w:rFonts w:cs="Arial" w:ascii="Arial" w:hAnsi="Arial"/>
          <w:sz w:val="20"/>
        </w:rPr>
        <w:t>The EFA Terms, Edition 2 1991 ("EFA Terms") shall apply to this Transaction with the following amendments:</w:t>
      </w:r>
    </w:p>
    <w:p>
      <w:pPr>
        <w:pStyle w:val="Normal"/>
        <w:jc w:val="both"/>
        <w:rPr>
          <w:rFonts w:ascii="Arial" w:hAnsi="Arial" w:cs="Arial"/>
          <w:sz w:val="20"/>
        </w:rPr>
      </w:pPr>
      <w:r>
        <w:rPr>
          <w:rFonts w:cs="Arial" w:ascii="Arial" w:hAnsi="Arial"/>
          <w:sz w:val="20"/>
        </w:rPr>
        <w:t>1.</w:t>
        <w:tab/>
        <w:t>The definitions of "Agreement Form" and "Confirmation" and all references to "Agreement Form" and "Confirmation" shall be deleted;</w:t>
      </w:r>
    </w:p>
    <w:p>
      <w:pPr>
        <w:pStyle w:val="Normal"/>
        <w:jc w:val="both"/>
        <w:rPr>
          <w:rFonts w:ascii="Arial" w:hAnsi="Arial" w:cs="Arial"/>
          <w:sz w:val="20"/>
        </w:rPr>
      </w:pPr>
      <w:r>
        <w:rPr>
          <w:rFonts w:cs="Arial" w:ascii="Arial" w:hAnsi="Arial"/>
          <w:sz w:val="20"/>
        </w:rPr>
        <w:t>2.</w:t>
        <w:tab/>
        <w:t>In the definition of "Contract Period", the reference to "as specified in the E.F.A." shall be deleted and replaced with "as specified on the website";</w:t>
      </w:r>
    </w:p>
    <w:p>
      <w:pPr>
        <w:pStyle w:val="Normal"/>
        <w:jc w:val="both"/>
        <w:rPr>
          <w:rFonts w:ascii="Arial" w:hAnsi="Arial" w:cs="Arial"/>
          <w:sz w:val="20"/>
        </w:rPr>
      </w:pPr>
      <w:r>
        <w:rPr>
          <w:rFonts w:cs="Arial" w:ascii="Arial" w:hAnsi="Arial"/>
          <w:sz w:val="20"/>
        </w:rPr>
        <w:t>3.</w:t>
        <w:tab/>
        <w:t>Clause 2.1 (A) and all references to Clause 2.1 (A) shall be deleted;</w:t>
      </w:r>
    </w:p>
    <w:p>
      <w:pPr>
        <w:pStyle w:val="Normal"/>
        <w:jc w:val="both"/>
        <w:rPr>
          <w:rFonts w:ascii="Arial" w:hAnsi="Arial" w:cs="Arial"/>
          <w:sz w:val="20"/>
        </w:rPr>
      </w:pPr>
      <w:r>
        <w:rPr>
          <w:rFonts w:cs="Arial" w:ascii="Arial" w:hAnsi="Arial"/>
          <w:sz w:val="20"/>
        </w:rPr>
        <w:t>4.</w:t>
        <w:tab/>
        <w:t>A new Clause 2.2(D) shall be added as follows:</w:t>
      </w:r>
    </w:p>
    <w:p>
      <w:pPr>
        <w:pStyle w:val="Normal"/>
        <w:jc w:val="both"/>
        <w:rPr>
          <w:rFonts w:ascii="Arial" w:hAnsi="Arial" w:cs="Arial"/>
          <w:sz w:val="20"/>
        </w:rPr>
      </w:pPr>
      <w:r>
        <w:rPr>
          <w:rFonts w:cs="Arial" w:ascii="Arial" w:hAnsi="Arial"/>
          <w:sz w:val="20"/>
        </w:rPr>
        <w:t>"Each party represents and warrants to the other party that the economic terms of this E.F.A. and any guarantee have been individually tailored and negotiated by it; and the creditworthiness of the other party was a material consideration in its entering into and determining the terms of this E.F.A. and any guarantee.";</w:t>
      </w:r>
    </w:p>
    <w:p>
      <w:pPr>
        <w:pStyle w:val="Normal"/>
        <w:jc w:val="both"/>
        <w:rPr>
          <w:rFonts w:ascii="Arial" w:hAnsi="Arial" w:cs="Arial"/>
          <w:sz w:val="20"/>
        </w:rPr>
      </w:pPr>
      <w:r>
        <w:rPr>
          <w:rFonts w:cs="Arial" w:ascii="Arial" w:hAnsi="Arial"/>
          <w:sz w:val="20"/>
        </w:rPr>
        <w:t>5.</w:t>
        <w:tab/>
        <w:t>Clause 2.3 shall be deleted and replaced with the following:</w:t>
      </w:r>
    </w:p>
    <w:p>
      <w:pPr>
        <w:pStyle w:val="Normal"/>
        <w:jc w:val="both"/>
        <w:rPr>
          <w:rFonts w:ascii="Arial" w:hAnsi="Arial" w:cs="Arial"/>
          <w:sz w:val="20"/>
        </w:rPr>
      </w:pPr>
      <w:r>
        <w:rPr>
          <w:rFonts w:cs="Arial" w:ascii="Arial" w:hAnsi="Arial"/>
          <w:sz w:val="20"/>
        </w:rPr>
        <w:t>"2.3</w:t>
        <w:tab/>
        <w:t>(A)</w:t>
        <w:tab/>
        <w:t>An E.F.A. will be initiated by you ("Counterparty") offering to buy from, or sell to Enron, by clicking on the designated boxes on this website. This website is not, and shall not be construed as, an offer to buy or sell by Enron;</w:t>
      </w:r>
    </w:p>
    <w:p>
      <w:pPr>
        <w:pStyle w:val="Normal"/>
        <w:jc w:val="both"/>
        <w:rPr>
          <w:rFonts w:ascii="Arial" w:hAnsi="Arial" w:cs="Arial"/>
          <w:sz w:val="20"/>
        </w:rPr>
      </w:pPr>
      <w:r>
        <w:rPr>
          <w:rFonts w:cs="Arial" w:ascii="Arial" w:hAnsi="Arial"/>
          <w:sz w:val="20"/>
        </w:rPr>
        <w:t>(B)</w:t>
        <w:tab/>
        <w:t>Enron may accept or reject Counterparty's offer at its sole discretion. An E.F.A. shall be deemed executed at the time that Enron first signifies its acceptance of Counterparty's offer, accessible on the Enron website server;</w:t>
      </w:r>
    </w:p>
    <w:p>
      <w:pPr>
        <w:pStyle w:val="Normal"/>
        <w:jc w:val="both"/>
        <w:rPr>
          <w:rFonts w:ascii="Arial" w:hAnsi="Arial" w:cs="Arial"/>
          <w:sz w:val="20"/>
        </w:rPr>
      </w:pPr>
      <w:r>
        <w:rPr>
          <w:rFonts w:cs="Arial" w:ascii="Arial" w:hAnsi="Arial"/>
          <w:sz w:val="20"/>
        </w:rPr>
        <w:t>(C)</w:t>
        <w:tab/>
        <w:t>The parties may also complete a written confirmation by way of record of the terms of each E.F.A. but in the event of any conflict, Enron's electronic records or paper copies of such electronic records shall prevail.";</w:t>
      </w:r>
    </w:p>
    <w:p>
      <w:pPr>
        <w:pStyle w:val="Normal"/>
        <w:jc w:val="both"/>
        <w:rPr>
          <w:rFonts w:ascii="Arial" w:hAnsi="Arial" w:cs="Arial"/>
          <w:sz w:val="20"/>
        </w:rPr>
      </w:pPr>
      <w:r>
        <w:rPr>
          <w:rFonts w:cs="Arial" w:ascii="Arial" w:hAnsi="Arial"/>
          <w:sz w:val="20"/>
        </w:rPr>
        <w:t>6.</w:t>
        <w:tab/>
        <w:t>A new Clause 2.5 shall be inserted:</w:t>
      </w:r>
    </w:p>
    <w:p>
      <w:pPr>
        <w:pStyle w:val="Normal"/>
        <w:jc w:val="both"/>
        <w:rPr>
          <w:rFonts w:ascii="Arial" w:hAnsi="Arial" w:cs="Arial"/>
          <w:sz w:val="20"/>
        </w:rPr>
      </w:pPr>
      <w:r>
        <w:rPr>
          <w:rFonts w:cs="Arial" w:ascii="Arial" w:hAnsi="Arial"/>
          <w:sz w:val="20"/>
        </w:rPr>
        <w:t>"2.5</w:t>
        <w:tab/>
        <w:t>Collateral Arrangements</w:t>
      </w:r>
    </w:p>
    <w:p>
      <w:pPr>
        <w:pStyle w:val="Normal"/>
        <w:jc w:val="both"/>
        <w:rPr>
          <w:rFonts w:ascii="Arial" w:hAnsi="Arial" w:cs="Arial"/>
          <w:sz w:val="20"/>
        </w:rPr>
      </w:pPr>
      <w:r>
        <w:rPr>
          <w:rFonts w:cs="Arial" w:ascii="Arial" w:hAnsi="Arial"/>
          <w:sz w:val="20"/>
        </w:rPr>
        <w:t>"Counterparty shall (at Enron’s request)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parent company guarantee in such form and for such amount as is acceptable to Enron in its absolute discretion. Failure so to provide such letter of credit or parent company guarantee shall constitute a default hereunder giving rise to the immediate right of termination by Enron under this GTC.";</w:t>
      </w:r>
    </w:p>
    <w:p>
      <w:pPr>
        <w:pStyle w:val="Normal"/>
        <w:jc w:val="both"/>
        <w:rPr>
          <w:rFonts w:ascii="Arial" w:hAnsi="Arial" w:cs="Arial"/>
          <w:sz w:val="20"/>
        </w:rPr>
      </w:pPr>
      <w:r>
        <w:rPr>
          <w:rFonts w:cs="Arial" w:ascii="Arial" w:hAnsi="Arial"/>
          <w:sz w:val="20"/>
        </w:rPr>
        <w:t>7.</w:t>
        <w:tab/>
        <w:t>The following sub-clauses shall be added in Clause 7.1 as additional Events of Default:</w:t>
      </w:r>
    </w:p>
    <w:p>
      <w:pPr>
        <w:pStyle w:val="Normal"/>
        <w:jc w:val="both"/>
        <w:rPr>
          <w:rFonts w:ascii="Arial" w:hAnsi="Arial" w:cs="Arial"/>
          <w:sz w:val="20"/>
        </w:rPr>
      </w:pPr>
      <w:r>
        <w:rPr>
          <w:rFonts w:cs="Arial" w:ascii="Arial" w:hAnsi="Arial"/>
          <w:sz w:val="20"/>
        </w:rPr>
        <w:t>"7.1</w:t>
        <w:tab/>
        <w:t>(D)</w:t>
        <w:tab/>
        <w:t>Failure to make payment of any amount due by a party as provided under the E.F.A. within 7 days of receipt of a written notice in respect of such amount from the party to whom such amount is owed. Such notice of failure may not be sent by the non-Defaulting Party earlier than the due date for payment; or</w:t>
      </w:r>
    </w:p>
    <w:p>
      <w:pPr>
        <w:pStyle w:val="Normal"/>
        <w:jc w:val="both"/>
        <w:rPr>
          <w:rFonts w:ascii="Arial" w:hAnsi="Arial" w:cs="Arial"/>
          <w:sz w:val="20"/>
        </w:rPr>
      </w:pPr>
      <w:r>
        <w:rPr>
          <w:rFonts w:cs="Arial" w:ascii="Arial" w:hAnsi="Arial"/>
          <w:sz w:val="20"/>
        </w:rPr>
        <w:t>7.1</w:t>
        <w:tab/>
        <w:t>(E)</w:t>
        <w:tab/>
        <w:t>An event of default occurs (however determined) under any other E.F.A. or financially-settled derivative transaction between the parties.";</w:t>
      </w:r>
    </w:p>
    <w:p>
      <w:pPr>
        <w:pStyle w:val="Normal"/>
        <w:jc w:val="both"/>
        <w:rPr>
          <w:rFonts w:ascii="Arial" w:hAnsi="Arial" w:cs="Arial"/>
          <w:sz w:val="20"/>
        </w:rPr>
      </w:pPr>
      <w:r>
        <w:rPr>
          <w:rFonts w:cs="Arial" w:ascii="Arial" w:hAnsi="Arial"/>
          <w:sz w:val="20"/>
        </w:rPr>
        <w:t>8.</w:t>
        <w:tab/>
        <w:t>Clause 12.3 and all references to Clause 12.3 shall be deleted; and</w:t>
      </w:r>
    </w:p>
    <w:p>
      <w:pPr>
        <w:pStyle w:val="Normal"/>
        <w:jc w:val="both"/>
        <w:rPr>
          <w:rFonts w:ascii="Arial" w:hAnsi="Arial" w:cs="Arial"/>
          <w:sz w:val="20"/>
        </w:rPr>
      </w:pPr>
      <w:r>
        <w:rPr>
          <w:rFonts w:cs="Arial" w:ascii="Arial" w:hAnsi="Arial"/>
          <w:sz w:val="20"/>
        </w:rPr>
        <w:t>9.</w:t>
        <w:tab/>
        <w:t>The following new Clause 12.5 shall be inserted:</w:t>
      </w:r>
    </w:p>
    <w:p>
      <w:pPr>
        <w:pStyle w:val="Normal"/>
        <w:spacing w:before="100" w:after="100"/>
        <w:jc w:val="both"/>
        <w:rPr>
          <w:rFonts w:ascii="Arial" w:hAnsi="Arial" w:cs="Arial"/>
          <w:sz w:val="20"/>
        </w:rPr>
      </w:pPr>
      <w:r>
        <w:rPr>
          <w:rFonts w:cs="Arial" w:ascii="Arial" w:hAnsi="Arial"/>
          <w:sz w:val="20"/>
        </w:rPr>
        <w:t>"12.5</w:t>
        <w:tab/>
        <w:t>All Transactions shall be arranged by Enron Europe Finance &amp; Trading Limited on behalf of Enron. Enron shall not owe Counterparty any obligation under the Rules of the Securities and Futures Authority to provide best execution. The time the Transaction was executed is available on request. Enron Europe Finance &amp; Trading Limited may receive remuneration from other persons in relation to this E.F.A. This information is available on request.".</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CG Times">
    <w:altName w:val="Times New Roman"/>
    <w:charset w:val="00" w:characterSet="windows-1252"/>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GB"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GB"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GB"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1999-09-02T06:34:00Z</dcterms:created>
  <dc:creator>Nicola Beales</dc:creator>
  <dc:description/>
  <dc:language>en-CA</dc:language>
  <cp:lastModifiedBy>Nicola Beales</cp:lastModifiedBy>
  <dcterms:modified xsi:type="dcterms:W3CDTF">1999-09-02T06:34:00Z</dcterms:modified>
  <cp:revision>2</cp:revision>
  <dc:subject/>
  <dc:title>ENRON CAPITAL &amp; TRADE RESOURCES LIMITED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