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MEMORANDUM</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March ___,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To:</w:t>
        <w:tab/>
        <w:t>[Jeffrey McMahon]</w:t>
      </w:r>
    </w:p>
    <w:p>
      <w:pPr>
        <w:pStyle w:val="Normal"/>
        <w:jc w:val="both"/>
        <w:rPr>
          <w:sz w:val="24"/>
        </w:rPr>
      </w:pPr>
      <w:r>
        <w:rPr>
          <w:sz w:val="24"/>
        </w:rPr>
        <w:tab/>
        <w:t>[Executive Vice President, Finance and Treasurer]</w:t>
      </w:r>
    </w:p>
    <w:p>
      <w:pPr>
        <w:pStyle w:val="Normal"/>
        <w:jc w:val="both"/>
        <w:rPr>
          <w:sz w:val="24"/>
        </w:rPr>
      </w:pPr>
      <w:r>
        <w:rPr>
          <w:sz w:val="24"/>
        </w:rPr>
        <w:tab/>
        <w:t>Enron Corp.</w:t>
      </w:r>
    </w:p>
    <w:p>
      <w:pPr>
        <w:pStyle w:val="Header"/>
        <w:tabs>
          <w:tab w:val="clear" w:pos="4320"/>
          <w:tab w:val="clear" w:pos="8640"/>
        </w:tabs>
        <w:jc w:val="both"/>
        <w:rPr>
          <w:sz w:val="24"/>
        </w:rPr>
      </w:pPr>
      <w:r>
        <w:rPr>
          <w:sz w:val="24"/>
        </w:rPr>
      </w:r>
    </w:p>
    <w:p>
      <w:pPr>
        <w:pStyle w:val="Normal"/>
        <w:jc w:val="both"/>
        <w:rPr>
          <w:sz w:val="24"/>
        </w:rPr>
      </w:pPr>
      <w:r>
        <w:rPr>
          <w:sz w:val="24"/>
        </w:rPr>
        <w:t>From:</w:t>
        <w:tab/>
        <w:t>[John B. Echols, Jr.]</w:t>
      </w:r>
    </w:p>
    <w:p>
      <w:pPr>
        <w:pStyle w:val="Normal"/>
        <w:jc w:val="both"/>
        <w:rPr>
          <w:sz w:val="24"/>
        </w:rPr>
      </w:pPr>
      <w:r>
        <w:rPr>
          <w:sz w:val="24"/>
        </w:rPr>
        <w:tab/>
        <w:t>Managing Director, Chief Financial Officer and Treasurer]</w:t>
      </w:r>
    </w:p>
    <w:p>
      <w:pPr>
        <w:pStyle w:val="Normal"/>
        <w:jc w:val="both"/>
        <w:rPr>
          <w:sz w:val="24"/>
        </w:rPr>
      </w:pPr>
      <w:r>
        <w:rPr>
          <w:sz w:val="24"/>
        </w:rPr>
        <w:tab/>
        <w:t>Enron Energy Services LLC</w:t>
      </w:r>
    </w:p>
    <w:p>
      <w:pPr>
        <w:pStyle w:val="Normal"/>
        <w:jc w:val="both"/>
        <w:rPr>
          <w:sz w:val="24"/>
        </w:rPr>
      </w:pPr>
      <w:r>
        <w:rPr>
          <w:sz w:val="24"/>
        </w:rPr>
      </w:r>
    </w:p>
    <w:p>
      <w:pPr>
        <w:pStyle w:val="BodyText"/>
        <w:rPr/>
      </w:pPr>
      <w:r>
        <w:rPr/>
        <w:tab/>
        <w:t>At the request of Enron Energy Services LLC. ("EES"), Enron Corp. ("Enron") has agreed to execute a total return swap transaction (the "Transaction") with Hawaii 125-0 Trust (the "Counterparty") in connection with [a financing transaction that EES is arranging for the purchase of an asset].  The confirmation for the Transaction (the "Confirmation") is hereby attached as Exhibit 1.</w:t>
      </w:r>
    </w:p>
    <w:p>
      <w:pPr>
        <w:pStyle w:val="Normal"/>
        <w:jc w:val="both"/>
        <w:rPr>
          <w:sz w:val="24"/>
        </w:rPr>
      </w:pPr>
      <w:r>
        <w:rPr>
          <w:sz w:val="24"/>
        </w:rPr>
      </w:r>
    </w:p>
    <w:p>
      <w:pPr>
        <w:pStyle w:val="Normal"/>
        <w:jc w:val="both"/>
        <w:rPr>
          <w:sz w:val="24"/>
        </w:rPr>
      </w:pPr>
      <w:r>
        <w:rPr>
          <w:sz w:val="24"/>
        </w:rPr>
        <w:tab/>
        <w:t>The purpose of this Memorandum is to set forth the mutual understandings between EES and Enron of the allocation of benefits and obligations in connection with the Transaction.  Such allocations are as follows:</w:t>
      </w:r>
    </w:p>
    <w:p>
      <w:pPr>
        <w:pStyle w:val="Normal"/>
        <w:jc w:val="both"/>
        <w:rPr>
          <w:sz w:val="24"/>
        </w:rPr>
      </w:pPr>
      <w:r>
        <w:rPr>
          <w:sz w:val="24"/>
        </w:rPr>
      </w:r>
    </w:p>
    <w:p>
      <w:pPr>
        <w:pStyle w:val="BodyTextIndent"/>
        <w:jc w:val="both"/>
        <w:rPr>
          <w:sz w:val="24"/>
        </w:rPr>
      </w:pPr>
      <w:r>
        <w:rPr>
          <w:sz w:val="24"/>
        </w:rPr>
        <w:t>(i) All benefits, rights and obligations of Enron created by or arising under the Transaction shall become the benefits, rights and obligations of EES, as if EES were the Counterparty as that term is defined in the Transaction.</w:t>
      </w:r>
    </w:p>
    <w:p>
      <w:pPr>
        <w:pStyle w:val="Normal"/>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t>(ii) EES will be responsible to Enron for the reimbursement of any payments which Enron may make to the Hawaii 125-0 Trust which arise under the Transaction, together with all costs and fees associated therewith.</w:t>
      </w:r>
    </w:p>
    <w:p>
      <w:pPr>
        <w:pStyle w:val="Normal"/>
        <w:ind w:firstLine="720" w:end="0"/>
        <w:jc w:val="both"/>
        <w:rPr>
          <w:sz w:val="24"/>
        </w:rPr>
      </w:pPr>
      <w:r>
        <w:rPr>
          <w:sz w:val="24"/>
        </w:rPr>
      </w:r>
    </w:p>
    <w:p>
      <w:pPr>
        <w:pStyle w:val="BodyTextIndent"/>
        <w:jc w:val="both"/>
        <w:rPr>
          <w:sz w:val="24"/>
        </w:rPr>
      </w:pPr>
      <w:r>
        <w:rPr>
          <w:sz w:val="24"/>
        </w:rPr>
        <w:t>If this Memorandum correctly sets forth your understanding of the matters set forth herein, please sign a copy of this Memorandum in the space provided below.</w:t>
      </w:r>
    </w:p>
    <w:p>
      <w:pPr>
        <w:pStyle w:val="Normal"/>
        <w:ind w:firstLine="720" w:end="0"/>
        <w:jc w:val="both"/>
        <w:rPr>
          <w:sz w:val="24"/>
        </w:rPr>
      </w:pPr>
      <w:r>
        <w:rPr>
          <w:sz w:val="24"/>
        </w:rPr>
        <w:tab/>
        <w:tab/>
        <w:tab/>
        <w:tab/>
        <w:tab/>
        <w:tab/>
      </w:r>
    </w:p>
    <w:p>
      <w:pPr>
        <w:pStyle w:val="Normal"/>
        <w:ind w:firstLine="720" w:end="0"/>
        <w:jc w:val="both"/>
        <w:rPr>
          <w:sz w:val="24"/>
        </w:rPr>
      </w:pPr>
      <w:r>
        <w:rPr>
          <w:sz w:val="24"/>
        </w:rPr>
        <w:tab/>
        <w:tab/>
        <w:tab/>
        <w:tab/>
        <w:tab/>
        <w:tab/>
        <w:t>Enron Energy Services LLC</w:t>
      </w:r>
    </w:p>
    <w:p>
      <w:pPr>
        <w:pStyle w:val="Normal"/>
        <w:ind w:firstLine="720" w:end="0"/>
        <w:jc w:val="both"/>
        <w:rPr>
          <w:sz w:val="24"/>
        </w:rPr>
      </w:pPr>
      <w:r>
        <w:rPr>
          <w:sz w:val="24"/>
        </w:rPr>
        <w:tab/>
        <w:tab/>
        <w:tab/>
        <w:tab/>
        <w:tab/>
        <w:tab/>
      </w:r>
    </w:p>
    <w:p>
      <w:pPr>
        <w:pStyle w:val="Normal"/>
        <w:ind w:firstLine="720" w:end="0"/>
        <w:jc w:val="both"/>
        <w:rPr>
          <w:sz w:val="24"/>
        </w:rPr>
      </w:pPr>
      <w:r>
        <w:rPr>
          <w:sz w:val="24"/>
        </w:rPr>
      </w:r>
    </w:p>
    <w:p>
      <w:pPr>
        <w:pStyle w:val="Normal"/>
        <w:ind w:firstLine="720" w:start="4320" w:end="0"/>
        <w:jc w:val="both"/>
        <w:rPr>
          <w:sz w:val="24"/>
        </w:rPr>
      </w:pPr>
      <w:r>
        <w:rPr>
          <w:sz w:val="24"/>
        </w:rPr>
        <w:t>By:___________________________</w:t>
      </w:r>
    </w:p>
    <w:p>
      <w:pPr>
        <w:pStyle w:val="Normal"/>
        <w:ind w:firstLine="720" w:start="4320" w:end="0"/>
        <w:jc w:val="both"/>
        <w:rPr>
          <w:sz w:val="24"/>
        </w:rPr>
      </w:pPr>
      <w:r>
        <w:rPr>
          <w:sz w:val="24"/>
        </w:rPr>
        <w:t xml:space="preserve">       </w:t>
      </w:r>
      <w:r>
        <w:rPr>
          <w:sz w:val="24"/>
        </w:rPr>
        <w:t>[John B. Echols, Jr.</w:t>
        <w:tab/>
      </w:r>
    </w:p>
    <w:p>
      <w:pPr>
        <w:pStyle w:val="Heading2"/>
        <w:ind w:hanging="0" w:start="5490" w:end="0"/>
        <w:jc w:val="both"/>
        <w:rPr/>
      </w:pPr>
      <w:r>
        <w:rPr/>
        <w:t>Managing Director, Chief Financial Officer and Treasurer</w:t>
      </w:r>
    </w:p>
    <w:p>
      <w:pPr>
        <w:pStyle w:val="Normal"/>
        <w:jc w:val="both"/>
        <w:rPr/>
      </w:pPr>
      <w:r>
        <w:rPr/>
        <w:tab/>
        <w:tab/>
        <w:tab/>
      </w:r>
    </w:p>
    <w:p>
      <w:pPr>
        <w:pStyle w:val="Normal"/>
        <w:jc w:val="both"/>
        <w:rPr/>
      </w:pPr>
      <w:r>
        <w:rPr/>
        <w:tab/>
        <w:tab/>
        <w:tab/>
      </w:r>
    </w:p>
    <w:p>
      <w:pPr>
        <w:pStyle w:val="Normal"/>
        <w:jc w:val="both"/>
        <w:rPr/>
      </w:pPr>
      <w:r>
        <w:rPr/>
      </w:r>
    </w:p>
    <w:p>
      <w:pPr>
        <w:pStyle w:val="Normal"/>
        <w:jc w:val="both"/>
        <w:rPr/>
      </w:pPr>
      <w:r>
        <w:rPr/>
      </w:r>
    </w:p>
    <w:p>
      <w:pPr>
        <w:pStyle w:val="Normal"/>
        <w:ind w:start="5040" w:end="0"/>
        <w:jc w:val="both"/>
        <w:rPr>
          <w:sz w:val="24"/>
        </w:rPr>
      </w:pPr>
      <w:r>
        <w:rPr>
          <w:sz w:val="24"/>
        </w:rPr>
        <w:t>Enron Corp.</w:t>
      </w:r>
    </w:p>
    <w:p>
      <w:pPr>
        <w:pStyle w:val="Normal"/>
        <w:ind w:firstLine="720" w:start="4320" w:end="0"/>
        <w:jc w:val="both"/>
        <w:rPr>
          <w:sz w:val="24"/>
        </w:rPr>
      </w:pPr>
      <w:r>
        <w:rPr>
          <w:sz w:val="24"/>
        </w:rPr>
      </w:r>
    </w:p>
    <w:p>
      <w:pPr>
        <w:pStyle w:val="Normal"/>
        <w:ind w:hanging="450" w:start="5490" w:end="0"/>
        <w:jc w:val="both"/>
        <w:rPr/>
      </w:pPr>
      <w:r>
        <w:rPr/>
        <w:t>By:________________________________</w:t>
        <w:tab/>
        <w:t xml:space="preserve">                        </w:t>
      </w:r>
      <w:r>
        <w:rPr>
          <w:sz w:val="24"/>
        </w:rPr>
        <w:t>[Jeffrey McMahon]</w:t>
      </w:r>
    </w:p>
    <w:p>
      <w:pPr>
        <w:pStyle w:val="Heading1"/>
        <w:tabs>
          <w:tab w:val="clear" w:pos="720"/>
          <w:tab w:val="left" w:pos="5040" w:leader="none"/>
          <w:tab w:val="left" w:pos="5490" w:leader="none"/>
        </w:tabs>
        <w:ind w:hanging="0" w:start="5490" w:end="0"/>
        <w:jc w:val="both"/>
        <w:rPr/>
      </w:pPr>
      <w:r>
        <w:rPr/>
        <w:t>Vice President, Finance and Treasurer</w:t>
      </w:r>
    </w:p>
    <w:p>
      <w:pPr>
        <w:pStyle w:val="Normal"/>
        <w:jc w:val="both"/>
        <w:rPr/>
      </w:pPr>
      <w:r>
        <w:rPr/>
      </w:r>
    </w:p>
    <w:p>
      <w:pPr>
        <w:pStyle w:val="BodyTextIndent3"/>
        <w:jc w:val="both"/>
        <w:rPr/>
      </w:pPr>
      <w:r>
        <w:rPr/>
      </w:r>
    </w:p>
    <w:p>
      <w:pPr>
        <w:pStyle w:val="Normal"/>
        <w:jc w:val="both"/>
        <w:rPr>
          <w:sz w:val="24"/>
        </w:rPr>
      </w:pPr>
      <w:r>
        <w:rPr>
          <w:sz w:val="24"/>
        </w:rPr>
      </w:r>
    </w:p>
    <w:p>
      <w:pPr>
        <w:pStyle w:val="Heading1"/>
        <w:ind w:hanging="0" w:start="0"/>
        <w:jc w:val="both"/>
        <w:rPr>
          <w:sz w:val="24"/>
        </w:rPr>
      </w:pPr>
      <w:r>
        <w:rPr>
          <w:sz w:val="24"/>
        </w:rPr>
      </w:r>
    </w:p>
    <w:p>
      <w:pPr>
        <w:pStyle w:val="Heading1"/>
        <w:ind w:hanging="0" w:start="0"/>
        <w:jc w:val="both"/>
        <w:rPr/>
      </w:pPr>
      <w:r>
        <w:rPr/>
      </w:r>
    </w:p>
    <w:p>
      <w:pPr>
        <w:pStyle w:val="Heading1"/>
        <w:ind w:hanging="0" w:start="0"/>
        <w:jc w:val="both"/>
        <w:rPr/>
      </w:pPr>
      <w:r>
        <w:rPr/>
        <w:t>Attachment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/mnt/main-storage/datasets/enron-docs/doc/EEStotalreturnswap.doc</w:t>
    </w:r>
    <w:r>
      <w:rPr>
        <w:sz w:val="12"/>
        <w:rFonts w:cs="Arial" w:ascii="Arial" w:hAnsi="Arial"/>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tabs>
        <w:tab w:val="clear" w:pos="720"/>
        <w:tab w:val="left" w:pos="5490" w:leader="none"/>
      </w:tabs>
      <w:ind w:firstLine="720" w:start="0" w:end="0"/>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pPr>
    <w:rPr>
      <w:sz w:val="24"/>
    </w:rPr>
  </w:style>
  <w:style w:type="paragraph" w:styleId="BodyTextIndent3">
    <w:name w:val="Body Text Indent 3"/>
    <w:basedOn w:val="Normal"/>
    <w:qFormat/>
    <w:pPr>
      <w:tabs>
        <w:tab w:val="clear" w:pos="720"/>
        <w:tab w:val="left" w:pos="5040" w:leader="none"/>
      </w:tabs>
      <w:ind w:hanging="4320" w:start="504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2000-03-30T18:44:00Z</dcterms:created>
  <dc:creator>wende warren</dc:creator>
  <dc:description/>
  <dc:language>en-CA</dc:language>
  <cp:lastModifiedBy>sshackl</cp:lastModifiedBy>
  <cp:lastPrinted>1998-12-22T18:00:00Z</cp:lastPrinted>
  <dcterms:modified xsi:type="dcterms:W3CDTF">2000-03-30T19:02:00Z</dcterms:modified>
  <cp:revision>7</cp:revision>
  <dc:subject/>
  <dc:title>[DRAFT]</dc:title>
</cp:coreProperties>
</file>