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INTERNATIONAL SUPPORT FOR EES WORKING GROUP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664"/>
        <w:gridCol w:w="6480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Subgroup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Members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General Purpose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Descriptive Model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Hemstock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Amr Ibrahim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Roy Boston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Schroeder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Describe (simple diagrams, few words) how Public Affairs supports EES in US, Europe, and Other, with respect to 1) regulatory and 2) commercial support.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Identify best practices and areas in need of improvement (what works when and where, what doesn’t)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Identify “transferability” of practices; what could work globally and what should work locally.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Resources &amp; Information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Peggy Mahoney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Rita Hartfield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Jim Steffes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Identify primary points of contact within Public Affairs and EES for region/country.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Identify international customer base; who, where, generally how much.  Identify associated risks.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Develop tools/resources for transfer of information between groups.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Product Development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John Palmisano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Roy Boston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Peggy Mahoney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Burns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Proactively identify information/knowledge within Public Affairs that can enhance EES product offerings.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Develop process to regularly elicit this input.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Client Needs 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Mike Dahlke</w:t>
            </w:r>
          </w:p>
          <w:p>
            <w:pPr>
              <w:pStyle w:val="Heading4"/>
              <w:ind w:hanging="0" w:start="0"/>
              <w:rPr>
                <w:sz w:val="22"/>
              </w:rPr>
            </w:pPr>
            <w:r>
              <w:rPr>
                <w:sz w:val="22"/>
              </w:rPr>
              <w:t>Nancy Hetrick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Harry Kingerski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Find out specific to-do’s for Public Affairs to support EES international activities.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Deliver solutions/answers to EES needs.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sz w:val="22"/>
              </w:rPr>
            </w:pPr>
            <w:r>
              <w:rPr>
                <w:b w:val="false"/>
                <w:sz w:val="22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Interaction</w:t>
            </w:r>
          </w:p>
        </w:tc>
        <w:tc>
          <w:tcPr>
            <w:tcW w:w="2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Amr Ibrahim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Kingerski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Burns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Examine potential positive effects on other (international) Enron business units from EES presence.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Suggested lead for subgroup is in bold.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2000-01-24T12:45:00Z</dcterms:created>
  <dc:creator>hkinger</dc:creator>
  <dc:description/>
  <dc:language>en-CA</dc:language>
  <cp:lastModifiedBy>hkinger</cp:lastModifiedBy>
  <dcterms:modified xsi:type="dcterms:W3CDTF">2000-02-10T12:24:00Z</dcterms:modified>
  <cp:revision>3</cp:revision>
  <dc:subject/>
  <dc:title>RATES &amp; TARIFFS WORKING GROUP</dc:title>
</cp:coreProperties>
</file>