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INTERNATIONAL SUPPORT FOR EES WORKING GROUP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664"/>
        <w:gridCol w:w="6480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Subgroup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Members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General Purpose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Descriptive Model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Rob Hemstock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Amr Ibrahim</w:t>
            </w:r>
          </w:p>
          <w:p>
            <w:pPr>
              <w:pStyle w:val="Heading2"/>
              <w:ind w:hanging="0" w:start="0"/>
              <w:rPr/>
            </w:pPr>
            <w:r>
              <w:rPr/>
              <w:t>Roy Boston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 Schroeder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Describe (simple diagrams, few words) how Public Affairs supports EES in US, Europe, and Other, with respect to 1) regulatory and 2) commercial support.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Identify best practices and areas in need of improvement (what works when and where, what doesn’t)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Identify “transferability” of practices; what could work globally and what should work locally.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Resources &amp; Information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Peggy Mahoney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Rita Hartfield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Jim Steffes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Identify primary points of contact within Public Affairs and EES for region/country.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Identify international customer base; who, where, generally how much.  Identify associated risks.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Develop tools/resources for transfer of information between groups.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Product Development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John Palmisano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Roy Boston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Peggy Mahoney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Steve Burns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Proactively identify information/knowledge within Public Affairs that can enhance EES product offerings.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Develop process to regularly elicit this input.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Client Needs 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Mike Dahlke</w:t>
            </w:r>
          </w:p>
          <w:p>
            <w:pPr>
              <w:pStyle w:val="Heading4"/>
              <w:ind w:hanging="0" w:start="0"/>
              <w:rPr/>
            </w:pPr>
            <w:r>
              <w:rPr/>
              <w:t>Nancy Hetrick</w:t>
            </w:r>
          </w:p>
          <w:p>
            <w:pPr>
              <w:pStyle w:val="Heading2"/>
              <w:ind w:hanging="0" w:start="0"/>
              <w:rPr/>
            </w:pPr>
            <w:r>
              <w:rPr/>
              <w:t>Harry Kingerski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Find out specific to-do’s for Public Affairs to support EES international activities.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Deliver solutions/answers to EES needs.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Suggested lead for subgroup is in bold.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2000-01-24T12:45:00Z</dcterms:created>
  <dc:creator>hkinger</dc:creator>
  <dc:description/>
  <dc:language>en-CA</dc:language>
  <cp:lastModifiedBy>hkinger</cp:lastModifiedBy>
  <dcterms:modified xsi:type="dcterms:W3CDTF">2000-01-24T12:45:00Z</dcterms:modified>
  <cp:revision>2</cp:revision>
  <dc:subject/>
  <dc:title>RATES &amp; TARIFFS WORKING GROUP</dc:title>
</cp:coreProperties>
</file>