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center"/>
        <w:rPr>
          <w:rFonts w:ascii="Times New Roman" w:hAnsi="Times New Roman" w:cs="Times New Roman"/>
          <w:sz w:val="22"/>
        </w:rPr>
      </w:pPr>
      <w:r>
        <w:rPr>
          <w:rFonts w:cs="Times New Roman" w:ascii="Times New Roman" w:hAnsi="Times New Roman"/>
          <w:sz w:val="22"/>
        </w:rPr>
        <w:t>March 1, 2001</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Heading2"/>
        <w:ind w:hanging="0" w:start="0"/>
        <w:rPr>
          <w:sz w:val="22"/>
        </w:rPr>
      </w:pPr>
      <w:r>
        <w:rPr>
          <w:sz w:val="22"/>
        </w:rPr>
        <w:t>VIA FACSIMILE AND OVERNIGHT MAIL</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t>California State University</w:t>
      </w:r>
    </w:p>
    <w:p>
      <w:pPr>
        <w:pStyle w:val="Normal"/>
        <w:widowControl w:val="false"/>
        <w:jc w:val="both"/>
        <w:rPr>
          <w:rFonts w:ascii="Times New Roman" w:hAnsi="Times New Roman" w:cs="Times New Roman"/>
          <w:sz w:val="22"/>
        </w:rPr>
      </w:pPr>
      <w:r>
        <w:rPr>
          <w:rFonts w:cs="Times New Roman" w:ascii="Times New Roman" w:hAnsi="Times New Roman"/>
          <w:sz w:val="22"/>
        </w:rPr>
        <w:t>Contract Services and Procurement</w:t>
      </w:r>
    </w:p>
    <w:p>
      <w:pPr>
        <w:pStyle w:val="Normal"/>
        <w:widowControl w:val="false"/>
        <w:jc w:val="both"/>
        <w:rPr>
          <w:rFonts w:ascii="Times New Roman" w:hAnsi="Times New Roman" w:cs="Times New Roman"/>
          <w:sz w:val="22"/>
        </w:rPr>
      </w:pPr>
      <w:r>
        <w:rPr>
          <w:rFonts w:cs="Times New Roman" w:ascii="Times New Roman" w:hAnsi="Times New Roman"/>
          <w:sz w:val="22"/>
        </w:rPr>
        <w:t>West Ed</w:t>
      </w:r>
    </w:p>
    <w:p>
      <w:pPr>
        <w:pStyle w:val="Normal"/>
        <w:widowControl w:val="false"/>
        <w:jc w:val="both"/>
        <w:rPr>
          <w:rFonts w:ascii="Times New Roman" w:hAnsi="Times New Roman" w:cs="Times New Roman"/>
          <w:sz w:val="22"/>
        </w:rPr>
      </w:pPr>
      <w:r>
        <w:rPr>
          <w:rFonts w:cs="Times New Roman" w:ascii="Times New Roman" w:hAnsi="Times New Roman"/>
          <w:sz w:val="22"/>
        </w:rPr>
        <w:t>4665 Lampson Avenue</w:t>
      </w:r>
    </w:p>
    <w:p>
      <w:pPr>
        <w:pStyle w:val="Normal"/>
        <w:widowControl w:val="false"/>
        <w:jc w:val="both"/>
        <w:rPr>
          <w:rFonts w:ascii="Times New Roman" w:hAnsi="Times New Roman" w:cs="Times New Roman"/>
          <w:sz w:val="22"/>
        </w:rPr>
      </w:pPr>
      <w:r>
        <w:rPr>
          <w:rFonts w:cs="Times New Roman" w:ascii="Times New Roman" w:hAnsi="Times New Roman"/>
          <w:sz w:val="22"/>
        </w:rPr>
        <w:t>Los Alamitos, CA 90720</w:t>
      </w:r>
    </w:p>
    <w:p>
      <w:pPr>
        <w:pStyle w:val="Normal"/>
        <w:widowControl w:val="false"/>
        <w:jc w:val="both"/>
        <w:rPr>
          <w:rFonts w:ascii="Times New Roman" w:hAnsi="Times New Roman" w:cs="Times New Roman"/>
          <w:sz w:val="22"/>
        </w:rPr>
      </w:pPr>
      <w:r>
        <w:rPr>
          <w:rFonts w:cs="Times New Roman" w:ascii="Times New Roman" w:hAnsi="Times New Roman"/>
          <w:sz w:val="22"/>
        </w:rPr>
        <w:t>Fax: (562) 985-9407</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t>The California State University</w:t>
      </w:r>
    </w:p>
    <w:p>
      <w:pPr>
        <w:pStyle w:val="Normal"/>
        <w:widowControl w:val="false"/>
        <w:jc w:val="both"/>
        <w:rPr>
          <w:rFonts w:ascii="Times New Roman" w:hAnsi="Times New Roman" w:cs="Times New Roman"/>
          <w:sz w:val="22"/>
        </w:rPr>
      </w:pPr>
      <w:r>
        <w:rPr>
          <w:rFonts w:cs="Times New Roman" w:ascii="Times New Roman" w:hAnsi="Times New Roman"/>
          <w:sz w:val="22"/>
        </w:rPr>
        <w:t>Energy/Services</w:t>
      </w:r>
    </w:p>
    <w:p>
      <w:pPr>
        <w:pStyle w:val="Normal"/>
        <w:widowControl w:val="false"/>
        <w:jc w:val="both"/>
        <w:rPr>
          <w:rFonts w:ascii="Times New Roman" w:hAnsi="Times New Roman" w:cs="Times New Roman"/>
          <w:sz w:val="22"/>
        </w:rPr>
      </w:pPr>
      <w:r>
        <w:rPr>
          <w:rFonts w:cs="Times New Roman" w:ascii="Times New Roman" w:hAnsi="Times New Roman"/>
          <w:sz w:val="22"/>
        </w:rPr>
        <w:t>Facilities Management and Construction</w:t>
      </w:r>
    </w:p>
    <w:p>
      <w:pPr>
        <w:pStyle w:val="Normal"/>
        <w:widowControl w:val="false"/>
        <w:jc w:val="both"/>
        <w:rPr>
          <w:rFonts w:ascii="Times New Roman" w:hAnsi="Times New Roman" w:cs="Times New Roman"/>
          <w:sz w:val="22"/>
        </w:rPr>
      </w:pPr>
      <w:r>
        <w:rPr>
          <w:rFonts w:cs="Times New Roman" w:ascii="Times New Roman" w:hAnsi="Times New Roman"/>
          <w:sz w:val="22"/>
        </w:rPr>
        <w:t>Office of the President</w:t>
      </w:r>
    </w:p>
    <w:p>
      <w:pPr>
        <w:pStyle w:val="Normal"/>
        <w:widowControl w:val="false"/>
        <w:jc w:val="both"/>
        <w:rPr>
          <w:rFonts w:ascii="Times New Roman" w:hAnsi="Times New Roman" w:cs="Times New Roman"/>
          <w:sz w:val="22"/>
        </w:rPr>
      </w:pPr>
      <w:r>
        <w:rPr>
          <w:rFonts w:cs="Times New Roman" w:ascii="Times New Roman" w:hAnsi="Times New Roman"/>
          <w:sz w:val="22"/>
        </w:rPr>
        <w:t>300 Lakeside Drive, Rm. 1243</w:t>
      </w:r>
    </w:p>
    <w:p>
      <w:pPr>
        <w:pStyle w:val="Normal"/>
        <w:widowControl w:val="false"/>
        <w:jc w:val="both"/>
        <w:rPr>
          <w:rFonts w:ascii="Times New Roman" w:hAnsi="Times New Roman" w:cs="Times New Roman"/>
          <w:sz w:val="22"/>
        </w:rPr>
      </w:pPr>
      <w:r>
        <w:rPr>
          <w:rFonts w:cs="Times New Roman" w:ascii="Times New Roman" w:hAnsi="Times New Roman"/>
          <w:sz w:val="22"/>
        </w:rPr>
        <w:t>Oakland, CA 94612-3550</w:t>
      </w:r>
    </w:p>
    <w:p>
      <w:pPr>
        <w:pStyle w:val="Normal"/>
        <w:widowControl w:val="false"/>
        <w:jc w:val="both"/>
        <w:rPr>
          <w:rFonts w:ascii="Times New Roman" w:hAnsi="Times New Roman" w:cs="Times New Roman"/>
          <w:sz w:val="22"/>
        </w:rPr>
      </w:pPr>
      <w:r>
        <w:rPr>
          <w:rFonts w:cs="Times New Roman" w:ascii="Times New Roman" w:hAnsi="Times New Roman"/>
          <w:sz w:val="22"/>
        </w:rPr>
        <w:t>Fax: (510) 987-0752</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BodyText"/>
        <w:spacing w:lineRule="auto" w:line="240"/>
        <w:rPr/>
      </w:pPr>
      <w:r>
        <w:rPr>
          <w:sz w:val="22"/>
        </w:rPr>
        <w:tab/>
      </w:r>
      <w:r>
        <w:rPr>
          <w:b/>
          <w:sz w:val="22"/>
        </w:rPr>
        <w:t>Re:</w:t>
        <w:tab/>
      </w:r>
      <w:r>
        <w:rPr>
          <w:b/>
          <w:sz w:val="22"/>
          <w:u w:val="single"/>
        </w:rPr>
        <w:t>Dispute Notice</w:t>
      </w:r>
    </w:p>
    <w:p>
      <w:pPr>
        <w:pStyle w:val="BodyText"/>
        <w:spacing w:lineRule="auto" w:line="240"/>
        <w:rPr>
          <w:b/>
          <w:sz w:val="22"/>
          <w:u w:val="single"/>
        </w:rPr>
      </w:pPr>
      <w:r>
        <w:rPr>
          <w:b/>
          <w:sz w:val="22"/>
          <w:u w:val="single"/>
        </w:rPr>
      </w:r>
    </w:p>
    <w:p>
      <w:pPr>
        <w:pStyle w:val="BodyText"/>
        <w:spacing w:lineRule="auto" w:line="240"/>
        <w:rPr>
          <w:sz w:val="22"/>
        </w:rPr>
      </w:pPr>
      <w:r>
        <w:rPr>
          <w:sz w:val="22"/>
        </w:rPr>
        <w:t>Gentlemen:</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BodyText"/>
        <w:widowControl w:val="false"/>
        <w:spacing w:lineRule="auto" w:line="240"/>
        <w:ind w:firstLine="720" w:end="0"/>
        <w:jc w:val="both"/>
        <w:rPr>
          <w:sz w:val="22"/>
        </w:rPr>
      </w:pPr>
      <w:r>
        <w:rPr>
          <w:sz w:val="22"/>
        </w:rPr>
        <w:t xml:space="preserve">This Dispute Notice is provided under Section 11.2 of the Direct Access Services Agreement dated February 19, 1998 (“Agreement”) between The Regents of the University of California, the Trustees of the California State University (collectively the “Universities”) and Enron Energy Services, Inc. (“Contractor”).  </w:t>
      </w:r>
    </w:p>
    <w:p>
      <w:pPr>
        <w:pStyle w:val="BodyText"/>
        <w:widowControl w:val="false"/>
        <w:spacing w:lineRule="auto" w:line="240"/>
        <w:ind w:firstLine="720" w:end="0"/>
        <w:jc w:val="both"/>
        <w:rPr>
          <w:sz w:val="22"/>
        </w:rPr>
      </w:pPr>
      <w:r>
        <w:rPr>
          <w:sz w:val="22"/>
        </w:rPr>
      </w:r>
    </w:p>
    <w:p>
      <w:pPr>
        <w:pStyle w:val="BodyText"/>
        <w:widowControl w:val="false"/>
        <w:spacing w:lineRule="auto" w:line="240"/>
        <w:ind w:firstLine="720" w:end="0"/>
        <w:jc w:val="both"/>
        <w:rPr>
          <w:sz w:val="22"/>
        </w:rPr>
      </w:pPr>
      <w:r>
        <w:rPr>
          <w:sz w:val="22"/>
        </w:rPr>
        <w:t xml:space="preserve">Notice is given to the Universities of a dispute under the Agreement regarding the Universities’ efforts to impede Contractor from causing Pacific Gas &amp; Electric Company and Southern California Edison Company to serve directly the Universities’ energy accounts located in the service territories of those utilities, which action is being taken by Contractor pursuant to its contractual rights and the commercial impracticability of continued direct service.  </w:t>
      </w:r>
    </w:p>
    <w:p>
      <w:pPr>
        <w:pStyle w:val="BodyText"/>
        <w:widowControl w:val="false"/>
        <w:spacing w:lineRule="auto" w:line="240"/>
        <w:ind w:firstLine="720" w:end="0"/>
        <w:jc w:val="both"/>
        <w:rPr>
          <w:sz w:val="22"/>
        </w:rPr>
      </w:pPr>
      <w:r>
        <w:rPr>
          <w:sz w:val="22"/>
        </w:rPr>
      </w:r>
    </w:p>
    <w:p>
      <w:pPr>
        <w:pStyle w:val="BodyText"/>
        <w:widowControl w:val="false"/>
        <w:spacing w:lineRule="auto" w:line="240"/>
        <w:ind w:firstLine="720" w:end="0"/>
        <w:jc w:val="both"/>
        <w:rPr>
          <w:sz w:val="22"/>
        </w:rPr>
      </w:pPr>
      <w:r>
        <w:rPr>
          <w:sz w:val="22"/>
        </w:rPr>
        <w:t>Contractor is prepared to and hereby offers to continue to make a diligent and good faith attempt to resolve this dispute with the Universities consistent with the terms of the Agreement.  In the meantime, under Article 11.5, Contractor shall continue to exercise its rights and perform its obligations under the Agreement, and Contractor expects that the Universities will do the same.</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tab/>
        <w:tab/>
        <w:tab/>
        <w:tab/>
        <w:tab/>
        <w:tab/>
        <w:tab/>
        <w:t xml:space="preserve">Sincerely, </w:t>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r>
    </w:p>
    <w:p>
      <w:pPr>
        <w:pStyle w:val="Normal"/>
        <w:widowControl w:val="false"/>
        <w:jc w:val="both"/>
        <w:rPr>
          <w:rFonts w:ascii="Times New Roman" w:hAnsi="Times New Roman" w:cs="Times New Roman"/>
          <w:sz w:val="22"/>
        </w:rPr>
      </w:pPr>
      <w:r>
        <w:rPr>
          <w:rFonts w:cs="Times New Roman" w:ascii="Times New Roman" w:hAnsi="Times New Roman"/>
          <w:sz w:val="22"/>
        </w:rPr>
        <w:tab/>
        <w:tab/>
        <w:tab/>
        <w:tab/>
        <w:tab/>
        <w:tab/>
        <w:tab/>
        <w:t>[    ]</w:t>
      </w:r>
    </w:p>
    <w:p>
      <w:pPr>
        <w:pStyle w:val="Normal"/>
        <w:widowControl w:val="false"/>
        <w:jc w:val="both"/>
        <w:rPr>
          <w:rFonts w:ascii="Times New Roman" w:hAnsi="Times New Roman" w:cs="Times New Roman"/>
          <w:sz w:val="22"/>
        </w:rPr>
      </w:pPr>
      <w:r>
        <w:rPr>
          <w:rFonts w:cs="Times New Roman" w:ascii="Times New Roman" w:hAnsi="Times New Roman"/>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widowControl w:val="false"/>
      <w:numPr>
        <w:ilvl w:val="1"/>
        <w:numId w:val="1"/>
      </w:numPr>
      <w:jc w:val="both"/>
      <w:outlineLvl w:val="1"/>
    </w:pPr>
    <w:rPr>
      <w:rFonts w:ascii="Times New Roman" w:hAnsi="Times New Roman" w:cs="Times New Roman"/>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2001-02-28T19:45:00Z</dcterms:created>
  <dc:creator>hf</dc:creator>
  <dc:description/>
  <dc:language>en-CA</dc:language>
  <cp:lastModifiedBy>msmith2</cp:lastModifiedBy>
  <cp:lastPrinted>2001-03-01T08:56:00Z</cp:lastPrinted>
  <dcterms:modified xsi:type="dcterms:W3CDTF">2001-03-01T12:28:00Z</dcterms:modified>
  <cp:revision>8</cp:revision>
  <dc:subject/>
  <dc:title>DISPUTE NOTICE</dc:title>
</cp:coreProperties>
</file>