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sz w:val="36"/>
        </w:rPr>
      </w:pPr>
      <w:r>
        <w:rPr>
          <w:sz w:val="36"/>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All EES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OFFICE OF THE CHAIRMAN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 Update – EES Canada</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120" w:after="120"/>
        <w:jc w:val="both"/>
        <w:rPr>
          <w:sz w:val="22"/>
        </w:rPr>
      </w:pPr>
      <w:bookmarkStart w:id="2" w:name="StartOfMemo"/>
      <w:bookmarkEnd w:id="2"/>
      <w:r>
        <w:rPr>
          <w:sz w:val="22"/>
        </w:rPr>
        <w:t xml:space="preserve">The Canadian market, in two of its most prosperous and populous provinces, have entered a period of power deregulation and consumer choice.  Alberta had ushered in consumer choice earlier this year and Ontario is expected to deregulate early to mid 2002.  These regulatory changes will provide tremendous opportunity for EES.  In fact, the Ontario energy market would be in the top five or six in total North American energy spend. It is very important that we position ourselves correctly given this market opportunity.  All of our Canadian activities, will be managed by Rob Milnthorp, from the Calgary office; however, we will have a sizable position in Toronto.  </w:t>
      </w:r>
    </w:p>
    <w:p>
      <w:pPr>
        <w:pStyle w:val="Body"/>
        <w:spacing w:before="120" w:after="120"/>
        <w:jc w:val="both"/>
        <w:rPr>
          <w:sz w:val="22"/>
        </w:rPr>
      </w:pPr>
      <w:r>
        <w:rPr>
          <w:sz w:val="22"/>
        </w:rPr>
        <w:t>We are pleased to announce the following changes within the EES Canada organization.  These changes will provide the regional and product focus necessary to be successful in these energy markets.</w:t>
      </w:r>
    </w:p>
    <w:p>
      <w:pPr>
        <w:pStyle w:val="Body"/>
        <w:spacing w:before="120" w:after="120"/>
        <w:ind w:start="90" w:end="0"/>
        <w:jc w:val="both"/>
        <w:rPr>
          <w:sz w:val="22"/>
          <w:u w:val="single"/>
        </w:rPr>
      </w:pPr>
      <w:r>
        <w:rPr>
          <w:b/>
          <w:sz w:val="22"/>
          <w:u w:val="single"/>
        </w:rPr>
        <w:t>Regional Sales Organizations</w:t>
      </w:r>
    </w:p>
    <w:p>
      <w:pPr>
        <w:pStyle w:val="Body"/>
        <w:spacing w:before="120" w:after="120"/>
        <w:ind w:start="90" w:end="0"/>
        <w:jc w:val="both"/>
        <w:rPr>
          <w:sz w:val="22"/>
        </w:rPr>
      </w:pPr>
      <w:r>
        <w:rPr>
          <w:sz w:val="22"/>
        </w:rPr>
        <w:t xml:space="preserve">Canada will be organized regionally, with offices in both Calgary and Toronto.  Their focus will be on the entire retail market segment located in their respective regions.  For national accounts, which are limited in number, efforts will be coordinated across the two regional offices.  Darren Cross will head our efforts in Alberta and Paul DeVries will lead the Ontario region.  </w:t>
      </w:r>
    </w:p>
    <w:p>
      <w:pPr>
        <w:pStyle w:val="Body"/>
        <w:spacing w:before="120" w:after="120"/>
        <w:ind w:start="90" w:end="0"/>
        <w:jc w:val="both"/>
        <w:rPr>
          <w:sz w:val="22"/>
        </w:rPr>
      </w:pPr>
      <w:r>
        <w:rPr>
          <w:sz w:val="22"/>
        </w:rPr>
        <w:t>In Alberta, the agreed upon customer split between wholesale and retail efforts will be based on size. In particular, customers with less that 1000 Gj’s per day and less than 2MW/hr will be targeted clients.  The Alberta strategy, will be focused from the Enron Direct business model employing direct and agent based sales organizations.</w:t>
      </w:r>
    </w:p>
    <w:p>
      <w:pPr>
        <w:pStyle w:val="Body"/>
        <w:spacing w:before="120" w:after="120"/>
        <w:ind w:start="90" w:end="0"/>
        <w:jc w:val="both"/>
        <w:rPr/>
      </w:pPr>
      <w:r>
        <w:rPr>
          <w:sz w:val="22"/>
        </w:rPr>
        <w:t xml:space="preserve">In Ontario, the agreed upon customer split between wholesale and retail efforts will be consistent with the SIC code split that governs US activities. In particular, EES will be responsible for all customers and SIC codes </w:t>
      </w:r>
      <w:r>
        <w:rPr>
          <w:sz w:val="22"/>
          <w:u w:val="single"/>
        </w:rPr>
        <w:t>except:</w:t>
      </w:r>
      <w:r>
        <w:rPr>
          <w:sz w:val="22"/>
        </w:rPr>
        <w:t xml:space="preserve"> primary metals and mining extraction, oil and gas extraction, paper and forest products, chemicals (except for pharma, biotech and small specialty chemicals), refining, petroleum and coal manufacturing, plastics and rubber manufacturing, fertilizer, rail, the big three auto makers, cement and large agricultural processing. The Ontario strategy, will employ both the Regional Energy services business model, for the large consumer, and the Enron Direct business model, for the small consumer, employing direct and agent based sales organizations.</w:t>
      </w:r>
    </w:p>
    <w:p>
      <w:pPr>
        <w:pStyle w:val="Body"/>
        <w:spacing w:before="120" w:after="120"/>
        <w:ind w:start="90" w:end="0"/>
        <w:jc w:val="both"/>
        <w:rPr>
          <w:sz w:val="22"/>
        </w:rPr>
      </w:pPr>
      <w:r>
        <w:rPr>
          <w:sz w:val="22"/>
        </w:rPr>
        <w:t xml:space="preserve">Initial emphasis will be on commodity-based solutions for both power and gas. The service offering will expand over time to include distributed generation, load curtailment, DSM Lite and other products as they become commoditized through the Canadian Product Management Group.  </w:t>
      </w:r>
    </w:p>
    <w:p>
      <w:pPr>
        <w:pStyle w:val="Body"/>
        <w:spacing w:before="120" w:after="120"/>
        <w:ind w:start="90" w:end="0"/>
        <w:jc w:val="both"/>
        <w:rPr>
          <w:sz w:val="22"/>
          <w:u w:val="single"/>
        </w:rPr>
      </w:pPr>
      <w:r>
        <w:rPr>
          <w:b/>
          <w:sz w:val="22"/>
          <w:u w:val="single"/>
        </w:rPr>
        <w:t>Product Management and Services Group</w:t>
      </w:r>
    </w:p>
    <w:p>
      <w:pPr>
        <w:pStyle w:val="Body"/>
        <w:spacing w:before="120" w:after="120"/>
        <w:ind w:start="90" w:end="0"/>
        <w:jc w:val="both"/>
        <w:rPr>
          <w:sz w:val="22"/>
        </w:rPr>
      </w:pPr>
      <w:r>
        <w:rPr>
          <w:sz w:val="22"/>
        </w:rPr>
        <w:t>Consistent with the US model and in order to reach and manage scale, the Canadian regions will be supported by a central Canadian product management and services groups.  The vision for these group’s are consistent with similar functions in the US.  In particular, leveraging scale services like call centers, IT, billing across the entire business and providing a focus on product delivery and development to accelerate product innovation and velocity.</w:t>
      </w:r>
    </w:p>
    <w:p>
      <w:pPr>
        <w:pStyle w:val="Body"/>
        <w:spacing w:before="120" w:after="120"/>
        <w:ind w:start="90" w:end="0"/>
        <w:jc w:val="both"/>
        <w:rPr>
          <w:sz w:val="22"/>
        </w:rPr>
      </w:pPr>
      <w:r>
        <w:rPr>
          <w:sz w:val="22"/>
        </w:rPr>
        <w:t>Scott Campbell and his group will focus on commoditizing new products and services and delivering these to the Regional Sales Organizations.  Scott will be responsible for how these standardized products and services are presented and bundled for execution by the sales groups.  Scott will work closely with his Houston counterparts, Jay Lewis, Ken Gustafson and Jim Wood to ensure a high level of coordination and communication.</w:t>
      </w:r>
    </w:p>
    <w:p>
      <w:pPr>
        <w:pStyle w:val="Body"/>
        <w:spacing w:before="120" w:after="120"/>
        <w:ind w:start="90" w:end="0"/>
        <w:jc w:val="both"/>
        <w:rPr>
          <w:sz w:val="22"/>
        </w:rPr>
      </w:pPr>
      <w:r>
        <w:rPr>
          <w:sz w:val="22"/>
        </w:rPr>
        <w:t>The back office functions such as operations, accounting and call center services will be located in Calgary and will serve both regional offices.  We are actively recruiting for this position.</w:t>
      </w:r>
    </w:p>
    <w:p>
      <w:pPr>
        <w:pStyle w:val="Body"/>
        <w:spacing w:before="120" w:after="120"/>
        <w:ind w:start="86" w:end="0"/>
        <w:jc w:val="both"/>
        <w:rPr>
          <w:sz w:val="22"/>
        </w:rPr>
      </w:pPr>
      <w:r>
        <w:rPr>
          <w:sz w:val="22"/>
        </w:rPr>
        <w:t>EES Canada will rely and leverage off Houston and Houston’s infrastructure for all other aspects of the business such as Deal Management and Energy Asset Management.</w:t>
      </w:r>
    </w:p>
    <w:p>
      <w:pPr>
        <w:pStyle w:val="Body"/>
        <w:spacing w:before="120" w:after="120"/>
        <w:ind w:start="90" w:end="0"/>
        <w:jc w:val="both"/>
        <w:rPr>
          <w:sz w:val="22"/>
          <w:u w:val="single"/>
        </w:rPr>
      </w:pPr>
      <w:r>
        <w:rPr>
          <w:b/>
          <w:sz w:val="22"/>
          <w:u w:val="single"/>
        </w:rPr>
        <w:t>Legal/Regulatory Services</w:t>
      </w:r>
    </w:p>
    <w:p>
      <w:pPr>
        <w:pStyle w:val="Body"/>
        <w:spacing w:before="120" w:after="120"/>
        <w:ind w:start="90" w:end="0"/>
        <w:jc w:val="both"/>
        <w:rPr>
          <w:sz w:val="22"/>
        </w:rPr>
      </w:pPr>
      <w:r>
        <w:rPr>
          <w:sz w:val="22"/>
        </w:rPr>
        <w:t>Both the Legal and Government Affairs groups will be located in Calgary.  Derek Flaman will lead EES Canada’s legal efforts and Fino Tiberi will lead regulatory efforts.</w:t>
      </w:r>
    </w:p>
    <w:p>
      <w:pPr>
        <w:pStyle w:val="Body"/>
        <w:spacing w:before="120" w:after="120"/>
        <w:ind w:start="86" w:end="0"/>
        <w:jc w:val="both"/>
        <w:rPr>
          <w:b/>
          <w:sz w:val="22"/>
          <w:u w:val="single"/>
        </w:rPr>
      </w:pPr>
      <w:r>
        <w:rPr>
          <w:b/>
          <w:sz w:val="22"/>
          <w:u w:val="single"/>
        </w:rPr>
        <w:t>Corporate Opportunities</w:t>
      </w:r>
    </w:p>
    <w:p>
      <w:pPr>
        <w:pStyle w:val="Body"/>
        <w:spacing w:before="120" w:after="120"/>
        <w:ind w:start="86" w:end="0"/>
        <w:jc w:val="both"/>
        <w:rPr/>
      </w:pPr>
      <w:r>
        <w:rPr>
          <w:sz w:val="22"/>
        </w:rPr>
        <w:t xml:space="preserve">As these Canadian markets open and this business grows, EES must ensure a </w:t>
      </w:r>
      <w:r>
        <w:rPr>
          <w:b/>
          <w:sz w:val="22"/>
          <w:u w:val="single"/>
        </w:rPr>
        <w:t>high</w:t>
      </w:r>
      <w:r>
        <w:rPr>
          <w:b/>
          <w:sz w:val="22"/>
        </w:rPr>
        <w:t xml:space="preserve"> degree of communication and coordination between the Canadian and US business.</w:t>
      </w:r>
      <w:r>
        <w:rPr>
          <w:sz w:val="22"/>
        </w:rPr>
        <w:t xml:space="preserve">  If you are working with a client in Ontario or Alberta please ensure that you call Scott Campbell, Darren Cross or Paul DeVries </w:t>
      </w:r>
      <w:r>
        <w:rPr>
          <w:b/>
          <w:sz w:val="22"/>
          <w:u w:val="single"/>
        </w:rPr>
        <w:t>before</w:t>
      </w:r>
      <w:r>
        <w:rPr>
          <w:sz w:val="22"/>
        </w:rPr>
        <w:t xml:space="preserve"> visiting the Canadian company or US subsidiary.  Otherwise, everyone should continue to cover and target their respective customers for locations within their country regardless of the location of their home office.  We expect the Canadian business to utilize the OMS system as a tool to help manage any channel conflicts.</w:t>
      </w:r>
    </w:p>
    <w:p>
      <w:pPr>
        <w:pStyle w:val="Body"/>
        <w:spacing w:before="120" w:after="120"/>
        <w:ind w:start="86" w:end="0"/>
        <w:jc w:val="both"/>
        <w:rPr>
          <w:sz w:val="22"/>
        </w:rPr>
      </w:pPr>
      <w:r>
        <w:rPr>
          <w:b/>
          <w:sz w:val="22"/>
          <w:u w:val="single"/>
        </w:rPr>
        <w:t>Organization Chart</w:t>
      </w:r>
    </w:p>
    <w:p>
      <w:pPr>
        <w:pStyle w:val="Body"/>
        <w:spacing w:before="120" w:after="120"/>
        <w:ind w:start="86" w:end="0"/>
        <w:jc w:val="both"/>
        <w:rPr>
          <w:sz w:val="22"/>
        </w:rPr>
      </w:pPr>
      <w:r>
        <w:rPr>
          <w:sz w:val="22"/>
        </w:rPr>
        <w:t>Please see the attached.</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/mnt/main-storage/datasets/enron-docs/doc/EES_Employee.memo.doc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/mnt/main-storage/datasets/enron-docs/doc/EES_Employee.memo.doc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2676525</wp:posOffset>
              </wp:positionH>
              <wp:positionV relativeFrom="paragraph">
                <wp:posOffset>114935</wp:posOffset>
              </wp:positionV>
              <wp:extent cx="4558665"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4558665" cy="658495"/>
                      </a:xfrm>
                      <a:prstGeom prst="rect"/>
                      <a:solidFill>
                        <a:srgbClr val="FFFFFF">
                          <a:alpha val="0"/>
                        </a:srgbClr>
                      </a:solidFill>
                    </wps:spPr>
                    <wps:txbx>
                      <w:txbxContent>
                        <w:p>
                          <w:pPr>
                            <w:pStyle w:val="Normal"/>
                            <w:ind w:start="720" w:end="0"/>
                            <w:jc w:val="end"/>
                            <w:rPr>
                              <w:b/>
                              <w:sz w:val="32"/>
                            </w:rPr>
                          </w:pPr>
                          <w:r>
                            <w:rPr>
                              <w:b/>
                              <w:sz w:val="32"/>
                            </w:rPr>
                            <w:t>EES CANADA COMMUNICATION MEMO</w:t>
                          </w:r>
                        </w:p>
                      </w:txbxContent>
                    </wps:txbx>
                    <wps:bodyPr anchor="t" lIns="0" tIns="0" rIns="0" bIns="0">
                      <a:noAutofit/>
                    </wps:bodyPr>
                  </wps:wsp>
                </a:graphicData>
              </a:graphic>
            </wp:anchor>
          </w:drawing>
        </mc:Choice>
        <mc:Fallback>
          <w:pict>
            <v:rect fillcolor="#FFFFFF" style="position:absolute;rotation:-0;width:358.95pt;height:51.85pt;mso-wrap-distance-left:9.35pt;mso-wrap-distance-right:9.35pt;mso-wrap-distance-top:0pt;mso-wrap-distance-bottom:0pt;margin-top:9.05pt;mso-position-vertical-relative:text;margin-left:210.75pt;mso-position-horizontal-relative:page">
              <v:fill opacity="0f"/>
              <v:textbox inset="0in,0in,0in,0in">
                <w:txbxContent>
                  <w:p>
                    <w:pPr>
                      <w:pStyle w:val="Normal"/>
                      <w:ind w:start="720" w:end="0"/>
                      <w:jc w:val="end"/>
                      <w:rPr>
                        <w:b/>
                        <w:sz w:val="32"/>
                      </w:rPr>
                    </w:pPr>
                    <w:r>
                      <w:rPr>
                        <w:b/>
                        <w:sz w:val="32"/>
                      </w:rPr>
                      <w:t>EES CANADA COMMUNICATION MEMO</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rFonts w:ascii="Wingdings" w:hAnsi="Wingdings" w:cs="Wingdings"/>
      <w:sz w:val="2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ind w:hanging="0" w:start="3600" w:end="0"/>
    </w:pPr>
    <w:rPr>
      <w:b/>
      <w:bCs/>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2001-08-28T11:01:00Z</dcterms:created>
  <dc:creator>ncappel</dc:creator>
  <dc:description/>
  <dc:language>en-CA</dc:language>
  <cp:lastModifiedBy>David Delany</cp:lastModifiedBy>
  <cp:lastPrinted>2001-08-28T12:36:00Z</cp:lastPrinted>
  <dcterms:modified xsi:type="dcterms:W3CDTF">2001-08-28T15:18:00Z</dcterms:modified>
  <cp:revision>9</cp:revision>
  <dc:subject/>
  <dc:title>Eron Capital &amp; Trade Resources Memo</dc:title>
</cp:coreProperties>
</file>