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3594735</wp:posOffset>
                </wp:positionH>
                <wp:positionV relativeFrom="paragraph">
                  <wp:posOffset>459740</wp:posOffset>
                </wp:positionV>
                <wp:extent cx="2171700" cy="571500"/>
                <wp:effectExtent l="0" t="0" r="0" b="0"/>
                <wp:wrapNone/>
                <wp:docPr id="2" name="Frame1"/>
                <a:graphic xmlns:a="http://schemas.openxmlformats.org/drawingml/2006/main">
                  <a:graphicData uri="http://schemas.microsoft.com/office/word/2010/wordprocessingShape">
                    <wps:wsp>
                      <wps:cNvSpPr txBox="1"/>
                      <wps:spPr>
                        <a:xfrm>
                          <a:off x="0" y="0"/>
                          <a:ext cx="2171700" cy="5715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71pt;height:45pt;mso-wrap-distance-left:9.05pt;mso-wrap-distance-right:9.05pt;mso-wrap-distance-top:0pt;mso-wrap-distance-bottom:0pt;margin-top:36.2pt;mso-position-vertical-relative:text;margin-left:283.05pt;mso-position-horizontal-relative:text">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SEE DISTRIBUTION</w:t>
            </w:r>
          </w:p>
        </w:tc>
        <w:tc>
          <w:tcPr>
            <w:tcW w:w="3955" w:type="dxa"/>
            <w:gridSpan w:val="2"/>
            <w:tcBorders/>
          </w:tcPr>
          <w:p>
            <w:pPr>
              <w:pStyle w:val="Normal"/>
              <w:snapToGrid w:val="false"/>
              <w:rPr>
                <w:b/>
                <w:smallCaps/>
              </w:rPr>
            </w:pPr>
            <w:r>
              <w:rPr>
                <w:b/>
                <w:smallCaps/>
              </w:rPr>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Sager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Assignment of PX Credits (Negative CTC charges) from EES and EEMC to EPMI</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pPr>
      <w:r>
        <w:rPr/>
      </w:r>
      <w:bookmarkStart w:id="1" w:name="StartOfMemo"/>
      <w:bookmarkStart w:id="2" w:name="StartOfMemo"/>
      <w:bookmarkEnd w:id="2"/>
    </w:p>
    <w:p>
      <w:pPr>
        <w:pStyle w:val="Body"/>
        <w:jc w:val="both"/>
        <w:rPr/>
      </w:pPr>
      <w:r>
        <w:rPr/>
      </w:r>
    </w:p>
    <w:p>
      <w:pPr>
        <w:pStyle w:val="Body"/>
        <w:spacing w:before="120" w:after="0"/>
        <w:ind w:firstLine="720" w:start="0" w:end="720"/>
        <w:jc w:val="both"/>
        <w:rPr/>
      </w:pPr>
      <w:r>
        <w:rPr/>
        <w:t>Effective December 31, 2000, EES and EEMC (a subsidiary of EES providing retail services) transferred to EPMI the receivables through December 31, 2000 associated with amounts payable by PG&amp;E and SCE in connection with certain PX credits attributable to direct access customers served by EES and EEMC.  According to EES, the PX credit receivables through December 31, 2000 that were transferred to EPMI equaled $269 million.</w:t>
      </w:r>
    </w:p>
    <w:p>
      <w:pPr>
        <w:pStyle w:val="Body"/>
        <w:spacing w:before="120" w:after="0"/>
        <w:ind w:firstLine="720" w:start="0" w:end="720"/>
        <w:jc w:val="both"/>
        <w:rPr/>
      </w:pPr>
      <w:r>
        <w:rPr/>
        <w:t>The attached documents are intended to memorialize the agreement of the parties to transfer any and all future receivables associated with PX credits.  EES estimates that the PX credits from January 1, 2001 through mid March are $301 million.</w:t>
      </w:r>
    </w:p>
    <w:p>
      <w:pPr>
        <w:pStyle w:val="Body"/>
        <w:spacing w:before="120" w:after="0"/>
        <w:ind w:firstLine="720" w:start="0" w:end="720"/>
        <w:jc w:val="both"/>
        <w:rPr/>
      </w:pPr>
      <w:r>
        <w:rPr/>
        <w:t>Please call Elizabeth Sager at (713) 853-6349 with any questions or comments.</w:t>
      </w:r>
    </w:p>
    <w:p>
      <w:pPr>
        <w:pStyle w:val="Body"/>
        <w:spacing w:before="120" w:after="0"/>
        <w:ind w:start="720" w:end="720"/>
        <w:jc w:val="both"/>
        <w:rPr/>
      </w:pPr>
      <w:r>
        <w:rPr/>
      </w:r>
    </w:p>
    <w:p>
      <w:pPr>
        <w:pStyle w:val="Body"/>
        <w:tabs>
          <w:tab w:val="left" w:pos="1080" w:leader="none"/>
        </w:tabs>
        <w:spacing w:before="120" w:after="0"/>
        <w:ind w:start="720" w:end="720"/>
        <w:jc w:val="both"/>
        <w:rPr/>
      </w:pPr>
      <w:r>
        <w:rPr/>
        <w:t>DISTRIBUTION:</w:t>
      </w:r>
    </w:p>
    <w:p>
      <w:pPr>
        <w:pStyle w:val="Body"/>
        <w:tabs>
          <w:tab w:val="left" w:pos="1080" w:leader="none"/>
        </w:tabs>
        <w:spacing w:before="120" w:after="0"/>
        <w:ind w:start="1080" w:end="720"/>
        <w:jc w:val="both"/>
        <w:rPr/>
      </w:pPr>
      <w:r>
        <w:rPr/>
        <w:t>Tim Belden</w:t>
      </w:r>
    </w:p>
    <w:p>
      <w:pPr>
        <w:pStyle w:val="Body"/>
        <w:tabs>
          <w:tab w:val="left" w:pos="1080" w:leader="none"/>
        </w:tabs>
        <w:ind w:start="1080" w:end="720"/>
        <w:jc w:val="both"/>
        <w:rPr/>
      </w:pPr>
      <w:r>
        <w:rPr/>
        <w:t>Wes Colwell</w:t>
      </w:r>
    </w:p>
    <w:p>
      <w:pPr>
        <w:pStyle w:val="Body"/>
        <w:tabs>
          <w:tab w:val="left" w:pos="1080" w:leader="none"/>
        </w:tabs>
        <w:ind w:start="1080" w:end="720"/>
        <w:jc w:val="both"/>
        <w:rPr/>
      </w:pPr>
      <w:r>
        <w:rPr/>
        <w:t>Mark Frevert</w:t>
      </w:r>
    </w:p>
    <w:p>
      <w:pPr>
        <w:pStyle w:val="Body"/>
        <w:tabs>
          <w:tab w:val="left" w:pos="1080" w:leader="none"/>
        </w:tabs>
        <w:ind w:start="1080" w:end="720"/>
        <w:jc w:val="both"/>
        <w:rPr/>
      </w:pPr>
      <w:r>
        <w:rPr/>
        <w:t>Mark Haedicke</w:t>
      </w:r>
    </w:p>
    <w:p>
      <w:pPr>
        <w:pStyle w:val="Body"/>
        <w:tabs>
          <w:tab w:val="left" w:pos="1080" w:leader="none"/>
        </w:tabs>
        <w:ind w:start="1080" w:end="720"/>
        <w:jc w:val="both"/>
        <w:rPr/>
      </w:pPr>
      <w:r>
        <w:rPr/>
        <w:t>Louise Kitchen</w:t>
      </w:r>
    </w:p>
    <w:p>
      <w:pPr>
        <w:pStyle w:val="Body"/>
        <w:tabs>
          <w:tab w:val="left" w:pos="1080" w:leader="none"/>
        </w:tabs>
        <w:ind w:start="1080" w:end="720"/>
        <w:jc w:val="both"/>
        <w:rPr/>
      </w:pPr>
      <w:r>
        <w:rPr/>
        <w:t>John Lavorato</w:t>
      </w:r>
    </w:p>
    <w:p>
      <w:pPr>
        <w:pStyle w:val="Body"/>
        <w:tabs>
          <w:tab w:val="left" w:pos="1080" w:leader="none"/>
        </w:tabs>
        <w:ind w:start="1080" w:end="720"/>
        <w:jc w:val="both"/>
        <w:rPr/>
      </w:pPr>
      <w:r>
        <w:rPr/>
        <w:t>Greg Whalley</w:t>
      </w:r>
    </w:p>
    <w:p>
      <w:pPr>
        <w:pStyle w:val="Body"/>
        <w:tabs>
          <w:tab w:val="left" w:pos="1080" w:leader="none"/>
        </w:tabs>
        <w:ind w:start="720" w:end="720"/>
        <w:jc w:val="both"/>
        <w:rPr/>
      </w:pPr>
      <w:r>
        <w:rPr/>
      </w:r>
    </w:p>
    <w:p>
      <w:pPr>
        <w:pStyle w:val="Body"/>
        <w:tabs>
          <w:tab w:val="left" w:pos="1080" w:leader="none"/>
        </w:tabs>
        <w:ind w:start="720" w:end="720"/>
        <w:jc w:val="both"/>
        <w:rPr/>
      </w:pPr>
      <w:r>
        <w:rPr/>
        <w:t>cc:</w:t>
        <w:tab/>
        <w:t>Dave Delainey</w:t>
      </w:r>
    </w:p>
    <w:p>
      <w:pPr>
        <w:pStyle w:val="Body"/>
        <w:tabs>
          <w:tab w:val="left" w:pos="1080" w:leader="none"/>
        </w:tabs>
        <w:ind w:start="720" w:end="720"/>
        <w:jc w:val="both"/>
        <w:rPr/>
      </w:pPr>
      <w:r>
        <w:rPr/>
        <w:tab/>
        <w:t>Kevin Hughes</w:t>
      </w:r>
    </w:p>
    <w:p>
      <w:pPr>
        <w:pStyle w:val="Body"/>
        <w:tabs>
          <w:tab w:val="left" w:pos="1080" w:leader="none"/>
        </w:tabs>
        <w:ind w:start="720" w:end="720"/>
        <w:jc w:val="both"/>
        <w:rPr/>
      </w:pPr>
      <w:r>
        <w:rPr/>
        <w:tab/>
        <w:t>Vicki Sharp</w:t>
      </w:r>
    </w:p>
    <w:p>
      <w:pPr>
        <w:pStyle w:val="Body"/>
        <w:tabs>
          <w:tab w:val="left" w:pos="1080" w:leader="none"/>
        </w:tabs>
        <w:ind w:start="720" w:end="720"/>
        <w:jc w:val="both"/>
        <w:rPr/>
      </w:pPr>
      <w:r>
        <w:rPr/>
        <w:tab/>
        <w:t>Mike Smith</w:t>
      </w:r>
    </w:p>
    <w:p>
      <w:pPr>
        <w:pStyle w:val="Body"/>
        <w:tabs>
          <w:tab w:val="left" w:pos="1080" w:leader="none"/>
        </w:tabs>
        <w:ind w:firstLine="720" w:start="720" w:end="720"/>
        <w:jc w:val="both"/>
        <w:rPr/>
      </w:pPr>
      <w:r>
        <w:rPr/>
      </w:r>
    </w:p>
    <w:p>
      <w:pPr>
        <w:pStyle w:val="Body"/>
        <w:ind w:firstLine="720" w:start="0" w:end="720"/>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/mnt/main-storage/datasets/enron-docs/doc/EES_EEMC.doc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/mnt/main-storage/datasets/enron-docs/doc/EES_EEMC.doc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ab/>
    </w:r>
    <w:r>
      <w:rPr>
        <w:b/>
        <w:smallCaps/>
        <w:sz w:val="20"/>
      </w:rPr>
      <w:t>Not Discoverable</w:t>
    </w:r>
  </w:p>
  <w:p>
    <w:pPr>
      <w:pStyle w:val="Header"/>
      <w:tabs>
        <w:tab w:val="clear" w:pos="4320"/>
        <w:tab w:val="clear" w:pos="8640"/>
        <w:tab w:val="right" w:pos="9360" w:leader="none"/>
      </w:tabs>
      <w:spacing w:before="0" w:after="240"/>
      <w:rPr>
        <w:b/>
        <w:smallCaps/>
        <w:sz w:val="20"/>
      </w:rPr>
    </w:pPr>
    <w:r>
      <w:rPr>
        <w:b/>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mallCaps/>
      <w:sz w:val="3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1">
    <w:name w:val="WW8Num1z1"/>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Arial" w:hAnsi="Helv;Arial" w:cs="Helv;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Arial" w:hAnsi="Helv;Arial" w:cs="Helv;Arial"/>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Arial" w:hAnsi="Helv;Arial" w:cs="Helv;Arial"/>
      <w:sz w:val="20"/>
    </w:rPr>
  </w:style>
  <w:style w:type="paragraph" w:styleId="BodyText2">
    <w:name w:val="Body Text 2"/>
    <w:basedOn w:val="Normal"/>
    <w:qFormat/>
    <w:pPr>
      <w:autoSpaceDE w:val="false"/>
      <w:spacing w:lineRule="atLeast" w:line="240" w:before="120" w:after="0"/>
      <w:jc w:val="both"/>
    </w:pPr>
    <w:rPr>
      <w:rFonts w:ascii="Helv;Arial" w:hAnsi="Helv;Arial" w:cs="Helv;Arial"/>
      <w:i/>
      <w:iCs/>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2001-03-29T14:18:00Z</dcterms:created>
  <dc:creator>Jeff Ford</dc:creator>
  <dc:description/>
  <dc:language>en-CA</dc:language>
  <cp:lastModifiedBy>bwhiteh</cp:lastModifiedBy>
  <cp:lastPrinted>2001-03-29T11:00:00Z</cp:lastPrinted>
  <dcterms:modified xsi:type="dcterms:W3CDTF">2001-03-29T14:35:00Z</dcterms:modified>
  <cp:revision>3</cp:revision>
  <dc:subject>Analysis of ECT's Financial, Power and Gas Forms</dc:subject>
  <dc:title>Eron Capital &amp; Trade Resources Memo</dc:title>
</cp:coreProperties>
</file>