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Risk Management &amp; Trading Corp.</w:t>
            </w:r>
            <w:r>
              <w:rPr>
                <w:sz w:val="22"/>
                <w:b/>
              </w:rPr>
              <w:fldChar w:fldCharType="end"/>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(713) 853-3300</w:t>
            </w:r>
          </w:p>
          <w:p>
            <w:pPr>
              <w:pStyle w:val="Normal"/>
              <w:tabs>
                <w:tab w:val="clear" w:pos="720"/>
                <w:tab w:val="left" w:pos="2412" w:leader="none"/>
              </w:tabs>
              <w:ind w:start="1962" w:end="0"/>
              <w:rPr>
                <w:i/>
                <w:i/>
                <w:sz w:val="22"/>
              </w:rPr>
            </w:pPr>
            <w:r>
              <w:rPr>
                <w:i/>
                <w:sz w:val="22"/>
              </w:rPr>
              <w:t>Fax (713) 646-4816</w:t>
            </w:r>
          </w:p>
          <w:p>
            <w:pPr>
              <w:pStyle w:val="Normal"/>
              <w:tabs>
                <w:tab w:val="clear" w:pos="720"/>
                <w:tab w:val="left" w:pos="2412" w:leader="none"/>
              </w:tabs>
              <w:ind w:start="1962" w:end="0"/>
              <w:rPr>
                <w:i/>
                <w:i/>
                <w:sz w:val="22"/>
              </w:rPr>
            </w:pPr>
            <w:r>
              <w:rPr>
                <w:i/>
                <w:sz w:val="22"/>
              </w:rPr>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October 18, 1999</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Enron Energy Services, Inc.</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Dennis Benavides</w:t>
      </w:r>
      <w:r>
        <w:rPr>
          <w:sz w:val="22"/>
        </w:rPr>
        <w:fldChar w:fldCharType="end"/>
      </w:r>
    </w:p>
    <w:p>
      <w:pPr>
        <w:pStyle w:val="Normal"/>
        <w:rPr>
          <w:sz w:val="22"/>
        </w:rPr>
      </w:pPr>
      <w:r>
        <w:rPr>
          <w:sz w:val="22"/>
        </w:rPr>
        <w:t>Fax No.:</w:t>
        <w:tab/>
        <w:t>(713) 646-5991</w:t>
      </w:r>
      <w:r>
        <w:rPr>
          <w:sz w:val="22"/>
        </w:rPr>
        <w:fldChar w:fldCharType="begin"/>
      </w:r>
      <w:r>
        <w:rPr>
          <w:sz w:val="22"/>
        </w:rPr>
        <w:instrText xml:space="preserve"> MERGEFIELD CounterpartyFax </w:instrText>
      </w:r>
      <w:r>
        <w:rPr>
          <w:sz w:val="22"/>
        </w:rPr>
        <w:fldChar w:fldCharType="separate"/>
      </w:r>
      <w:r>
        <w:rPr>
          <w:sz w:val="22"/>
        </w:rPr>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Risk Management &amp; Trading Corp. (“RISKMANTRA”)</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253387.01</w:t>
      </w:r>
      <w:r>
        <w:rPr>
          <w:sz w:val="22"/>
        </w:rPr>
        <w:fldChar w:fldCharType="end"/>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April 22, 1998</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rPr>
                <w:sz w:val="22"/>
              </w:rPr>
            </w:pPr>
            <w:r>
              <w:rPr>
                <w:sz w:val="22"/>
              </w:rPr>
              <w:t>The amount set forth in Attachment A hereto, opposite such Calculation Period and under the heading Notional Quantity per Calculation Period.</w:t>
            </w:r>
          </w:p>
        </w:tc>
      </w:tr>
    </w:tbl>
    <w:p>
      <w:pPr>
        <w:pStyle w:val="Normal"/>
        <w:rPr>
          <w:sz w:val="22"/>
        </w:rPr>
      </w:pPr>
      <w:r>
        <w:rPr>
          <w:sz w:val="22"/>
        </w:rPr>
      </w:r>
    </w:p>
    <w:p>
      <w:pPr>
        <w:pStyle w:val="Normal"/>
        <w:ind w:firstLine="720" w:end="0"/>
        <w:rPr>
          <w:sz w:val="22"/>
        </w:rPr>
      </w:pPr>
      <w:r>
        <w:rPr>
          <w:sz w:val="22"/>
        </w:rPr>
        <w:t>Commodity:</w:t>
        <w:tab/>
        <w:tab/>
        <w:tab/>
        <w:tab/>
      </w: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p>
      <w:pPr>
        <w:pStyle w:val="Normal"/>
        <w:rPr>
          <w:sz w:val="22"/>
        </w:rPr>
      </w:pPr>
      <w:r>
        <w:rPr>
          <w:sz w:val="22"/>
        </w:rPr>
      </w:r>
    </w:p>
    <w:p>
      <w:pPr>
        <w:pStyle w:val="Normal"/>
        <w:ind w:firstLine="720" w:end="0"/>
        <w:rPr>
          <w:sz w:val="22"/>
        </w:rPr>
      </w:pPr>
      <w:r>
        <w:rPr>
          <w:sz w:val="22"/>
        </w:rPr>
        <w:t>Commodity Unit:</w:t>
        <w:tab/>
        <w:tab/>
        <w:tab/>
      </w: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p>
      <w:pPr>
        <w:pStyle w:val="Normal"/>
        <w:rPr>
          <w:sz w:val="22"/>
        </w:rPr>
      </w:pPr>
      <w:r>
        <w:rPr>
          <w:sz w:val="22"/>
        </w:rPr>
      </w:r>
    </w:p>
    <w:p>
      <w:pPr>
        <w:pStyle w:val="Normal"/>
        <w:ind w:firstLine="720" w:end="0"/>
        <w:rPr>
          <w:sz w:val="22"/>
        </w:rPr>
      </w:pPr>
      <w:r>
        <w:rPr>
          <w:sz w:val="22"/>
        </w:rPr>
        <w:t>Trade Date:</w:t>
        <w:tab/>
        <w:tab/>
        <w:tab/>
        <w:tab/>
      </w:r>
      <w:r>
        <w:rPr>
          <w:sz w:val="22"/>
        </w:rPr>
        <w:fldChar w:fldCharType="begin"/>
      </w:r>
      <w:r>
        <w:rPr>
          <w:sz w:val="22"/>
        </w:rPr>
        <w:instrText xml:space="preserve"> MERGEFIELD DealDate </w:instrText>
      </w:r>
      <w:r>
        <w:rPr>
          <w:sz w:val="22"/>
        </w:rPr>
        <w:fldChar w:fldCharType="separate"/>
      </w:r>
      <w:r>
        <w:rPr>
          <w:sz w:val="22"/>
        </w:rPr>
        <w:t>October 18, 1999</w:t>
      </w:r>
      <w:r>
        <w:rPr>
          <w:sz w:val="22"/>
        </w:rPr>
        <w:fldChar w:fldCharType="end"/>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January 1, 2006</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August 31, 2008</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ind w:firstLine="720" w:end="0"/>
              <w:jc w:val="both"/>
              <w:rPr>
                <w:sz w:val="22"/>
              </w:rPr>
            </w:pPr>
            <w:r>
              <w:rPr>
                <w:sz w:val="22"/>
              </w:rPr>
              <w:t>Calculation Period(s):</w:t>
            </w:r>
          </w:p>
        </w:tc>
        <w:tc>
          <w:tcPr>
            <w:tcW w:w="6012" w:type="dxa"/>
            <w:tcBorders/>
          </w:tcPr>
          <w:p>
            <w:pPr>
              <w:pStyle w:val="Normal"/>
              <w:ind w:start="-108" w:end="0"/>
              <w:jc w:val="both"/>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January 1, 2006 and ending on August 31, 200</w:t>
            </w:r>
            <w:r>
              <w:rPr>
                <w:sz w:val="22"/>
              </w:rPr>
              <w:fldChar w:fldCharType="end"/>
            </w:r>
            <w:r>
              <w:rPr>
                <w:sz w:val="22"/>
              </w:rPr>
              <w:t>8</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ind w:end="-270"/>
        <w:rPr>
          <w:sz w:val="22"/>
        </w:rPr>
      </w:pPr>
      <w:r>
        <w:rPr>
          <w:sz w:val="22"/>
        </w:rPr>
      </w:r>
    </w:p>
    <w:p>
      <w:pPr>
        <w:pStyle w:val="Normal"/>
        <w:keepNext w:val="true"/>
        <w:keepLines/>
        <w:rPr/>
      </w:pPr>
      <w:r>
        <w:rPr>
          <w:b/>
          <w:sz w:val="22"/>
        </w:rPr>
        <w:t>Fixed Amount Details:</w:t>
      </w:r>
      <w:r>
        <w:rPr>
          <w:sz w:val="22"/>
        </w:rPr>
        <w:tab/>
        <w:tab/>
        <w:tab/>
      </w:r>
    </w:p>
    <w:p>
      <w:pPr>
        <w:pStyle w:val="Normal"/>
        <w:keepLines/>
        <w:rPr>
          <w:sz w:val="22"/>
        </w:rPr>
      </w:pPr>
      <w:r>
        <w:rPr>
          <w:sz w:val="22"/>
        </w:rPr>
      </w:r>
    </w:p>
    <w:p>
      <w:pPr>
        <w:pStyle w:val="Normal"/>
        <w:keepNext w:val="true"/>
        <w:keepLines/>
        <w:ind w:firstLine="720" w:end="0"/>
        <w:rPr>
          <w:sz w:val="22"/>
        </w:rPr>
      </w:pPr>
      <w:r>
        <w:rPr>
          <w:sz w:val="22"/>
        </w:rPr>
        <w:t xml:space="preserve">Fixed Price Payer: </w:t>
        <w:tab/>
        <w:tab/>
        <w:tab/>
      </w:r>
      <w:r>
        <w:rPr>
          <w:sz w:val="22"/>
        </w:rPr>
        <w:fldChar w:fldCharType="begin"/>
      </w:r>
      <w:r>
        <w:rPr>
          <w:sz w:val="22"/>
        </w:rPr>
        <w:instrText xml:space="preserve"> MERGEFIELD ISDABuyer </w:instrText>
      </w:r>
      <w:r>
        <w:rPr>
          <w:sz w:val="22"/>
        </w:rPr>
        <w:fldChar w:fldCharType="separate"/>
      </w:r>
      <w:r>
        <w:rPr>
          <w:sz w:val="22"/>
        </w:rPr>
        <w:t>Party B</w:t>
      </w:r>
      <w:r>
        <w:rPr>
          <w:sz w:val="22"/>
        </w:rPr>
        <w:fldChar w:fldCharType="end"/>
      </w:r>
    </w:p>
    <w:p>
      <w:pPr>
        <w:pStyle w:val="Normal"/>
        <w:keepLines/>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keepLines/>
              <w:ind w:firstLine="720" w:end="0"/>
              <w:rPr>
                <w:sz w:val="22"/>
              </w:rPr>
            </w:pPr>
            <w:r>
              <w:rPr>
                <w:sz w:val="22"/>
              </w:rPr>
              <w:t>Fixed Price:</w:t>
            </w:r>
          </w:p>
        </w:tc>
        <w:tc>
          <w:tcPr>
            <w:tcW w:w="6102" w:type="dxa"/>
            <w:tcBorders/>
          </w:tcPr>
          <w:p>
            <w:pPr>
              <w:pStyle w:val="Normal"/>
              <w:keepLines/>
              <w:jc w:val="both"/>
              <w:rPr>
                <w:sz w:val="22"/>
              </w:rPr>
            </w:pPr>
            <w:r>
              <w:rPr>
                <w:sz w:val="22"/>
              </w:rPr>
              <w:fldChar w:fldCharType="begin"/>
            </w:r>
            <w:r>
              <w:rPr>
                <w:sz w:val="22"/>
              </w:rPr>
              <w:instrText xml:space="preserve"> MERGEFIELD FixedPrice </w:instrText>
            </w:r>
            <w:r>
              <w:rPr>
                <w:sz w:val="22"/>
              </w:rPr>
              <w:fldChar w:fldCharType="separate"/>
            </w:r>
            <w:r>
              <w:rPr>
                <w:sz w:val="22"/>
              </w:rPr>
              <w:t>US Dollars $38.25/MWh.</w:t>
            </w:r>
            <w:r>
              <w:rPr>
                <w:sz w:val="22"/>
              </w:rPr>
              <w:fldChar w:fldCharType="end"/>
            </w:r>
          </w:p>
        </w:tc>
      </w:tr>
    </w:tbl>
    <w:p>
      <w:pPr>
        <w:pStyle w:val="Normal"/>
        <w:rPr>
          <w:sz w:val="22"/>
        </w:rPr>
      </w:pPr>
      <w:r>
        <w:rPr>
          <w:sz w:val="22"/>
        </w:rPr>
      </w:r>
    </w:p>
    <w:p>
      <w:pPr>
        <w:pStyle w:val="Normal"/>
        <w:rPr/>
      </w:pPr>
      <w:r>
        <w:rPr>
          <w:b/>
          <w:sz w:val="22"/>
        </w:rPr>
        <w:t>Floating Amount Details:</w:t>
      </w:r>
      <w:r>
        <w:rPr>
          <w:sz w:val="22"/>
        </w:rPr>
        <w:tab/>
        <w:tab/>
        <w:tab/>
      </w:r>
    </w:p>
    <w:p>
      <w:pPr>
        <w:pStyle w:val="Normal"/>
        <w:rPr>
          <w:sz w:val="22"/>
        </w:rPr>
      </w:pPr>
      <w:r>
        <w:rPr>
          <w:sz w:val="22"/>
        </w:rPr>
      </w:r>
    </w:p>
    <w:p>
      <w:pPr>
        <w:pStyle w:val="Normal"/>
        <w:ind w:firstLine="720" w:end="0"/>
        <w:rPr>
          <w:sz w:val="22"/>
        </w:rPr>
      </w:pPr>
      <w:r>
        <w:rPr>
          <w:sz w:val="22"/>
        </w:rPr>
        <w:t xml:space="preserve">Floating Price Payer: </w:t>
        <w:tab/>
        <w:tab/>
        <w:tab/>
      </w:r>
      <w:r>
        <w:rPr>
          <w:sz w:val="22"/>
        </w:rPr>
        <w:fldChar w:fldCharType="begin"/>
      </w:r>
      <w:r>
        <w:rPr>
          <w:sz w:val="22"/>
        </w:rPr>
        <w:instrText xml:space="preserve"> MERGEFIELD ISDASeller </w:instrText>
      </w:r>
      <w:r>
        <w:rPr>
          <w:sz w:val="22"/>
        </w:rPr>
        <w:fldChar w:fldCharType="separate"/>
      </w:r>
      <w:r>
        <w:rPr>
          <w:sz w:val="22"/>
        </w:rPr>
        <w:t>Party A</w:t>
      </w:r>
      <w:r>
        <w:rPr>
          <w:sz w:val="22"/>
        </w:rPr>
        <w:fldChar w:fldCharType="end"/>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rPr/>
            </w:pPr>
            <w:r>
              <w:rPr/>
              <w:t>The average of the daily settlement prices of all issues of</w:t>
            </w:r>
            <w:r>
              <w:rPr>
                <w:u w:val="single"/>
              </w:rPr>
              <w:t xml:space="preserve"> Power Markets Week</w:t>
            </w:r>
            <w:r>
              <w:rPr/>
              <w:t xml:space="preserve"> as listed under “Prices of Spot Electricity, Daily On-Peak Index: Into Comed” for electricity delivered during “On-Peak hours” during the applicable Calculation Period.</w:t>
            </w:r>
          </w:p>
          <w:p>
            <w:pPr>
              <w:pStyle w:val="Normal"/>
              <w:rPr/>
            </w:pPr>
            <w:r>
              <w:rPr/>
            </w:r>
          </w:p>
          <w:p>
            <w:pPr>
              <w:pStyle w:val="Normal"/>
              <w:jc w:val="both"/>
              <w:rPr>
                <w:sz w:val="22"/>
              </w:rPr>
            </w:pPr>
            <w:r>
              <w:rPr/>
              <w:t>“</w:t>
            </w:r>
            <w:r>
              <w:rPr/>
              <w:t>On-Peak Hours” means hours commencing HE 0700 through HE 2200 Central Prevailing Time, Monday through Friday only, excluding holidays of the North American Electric Reliability Council.</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10440" w:type="dxa"/>
            <w:gridSpan w:val="2"/>
            <w:tcBorders/>
          </w:tcPr>
          <w:p>
            <w:pPr>
              <w:pStyle w:val="Normal"/>
              <w:tabs>
                <w:tab w:val="clear" w:pos="720"/>
                <w:tab w:val="left" w:pos="630" w:leader="none"/>
              </w:tabs>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p>
            <w:pPr>
              <w:pStyle w:val="Normal"/>
              <w:tabs>
                <w:tab w:val="clear" w:pos="720"/>
                <w:tab w:val="left" w:pos="630" w:leader="none"/>
              </w:tabs>
              <w:jc w:val="both"/>
              <w:rPr>
                <w:sz w:val="22"/>
              </w:rPr>
            </w:pPr>
            <w:r>
              <w:rPr>
                <w:sz w:val="22"/>
              </w:rPr>
            </w:r>
          </w:p>
          <w:p>
            <w:pPr>
              <w:pStyle w:val="Normal"/>
              <w:tabs>
                <w:tab w:val="clear" w:pos="720"/>
                <w:tab w:val="left" w:pos="630" w:leader="none"/>
              </w:tabs>
              <w:jc w:val="both"/>
              <w:rPr>
                <w:sz w:val="22"/>
              </w:rPr>
            </w:pPr>
            <w:r>
              <w:rPr>
                <w:sz w:val="22"/>
              </w:rPr>
              <w:t xml:space="preserve">         </w:t>
            </w:r>
            <w:r>
              <w:rPr>
                <w:sz w:val="22"/>
              </w:rPr>
              <w:t>Party A identifies this Transaction as property being hedged for federal income tax purposes.  Party A identifies the hedging transaction (if any) for this Transaction using the aggregate risk method for federal income tax purposes.  For hedging transactions involving notional principal contracts, Party A uses the method of tax accounting set forth in Treasury Regulation section 1.446-3.</w:t>
            </w:r>
          </w:p>
          <w:p>
            <w:pPr>
              <w:pStyle w:val="Normal"/>
              <w:tabs>
                <w:tab w:val="clear" w:pos="720"/>
                <w:tab w:val="left" w:pos="630" w:leader="none"/>
              </w:tabs>
              <w:jc w:val="both"/>
              <w:rPr>
                <w:sz w:val="22"/>
              </w:rPr>
            </w:pPr>
            <w:r>
              <w:rPr>
                <w:sz w:val="22"/>
              </w:rPr>
            </w:r>
          </w:p>
          <w:p>
            <w:pPr>
              <w:pStyle w:val="Normal"/>
              <w:tabs>
                <w:tab w:val="clear" w:pos="720"/>
                <w:tab w:val="left" w:pos="630" w:leader="none"/>
              </w:tabs>
              <w:jc w:val="both"/>
              <w:rPr>
                <w:sz w:val="22"/>
              </w:rPr>
            </w:pPr>
            <w:r>
              <w:rPr>
                <w:sz w:val="22"/>
              </w:rPr>
              <w:t xml:space="preserve">            </w:t>
            </w:r>
            <w:r>
              <w:rPr>
                <w:sz w:val="22"/>
              </w:rPr>
              <w:t>Party B identifies this Transaction as a hedging transaction for federal income tax purposes.  Party B hereby identifies the Commodity and the Notional Quantity described in this Confirmation as the property being hedged.  If Party B is a domestic entity, it uses the method of tax accounting set forth in Treasury Regulation section 1.446-3 for hedging transactions involving notional principal contracts.</w:t>
            </w:r>
          </w:p>
        </w:tc>
      </w:tr>
      <w:tr>
        <w:trPr/>
        <w:tc>
          <w:tcPr>
            <w:tcW w:w="10440" w:type="dxa"/>
            <w:gridSpan w:val="2"/>
            <w:tcBorders/>
          </w:tcPr>
          <w:p>
            <w:pPr>
              <w:pStyle w:val="Normal"/>
              <w:tabs>
                <w:tab w:val="clear" w:pos="720"/>
                <w:tab w:val="left" w:pos="630" w:leader="none"/>
              </w:tabs>
              <w:snapToGrid w:val="false"/>
              <w:jc w:val="both"/>
              <w:rPr>
                <w:sz w:val="22"/>
              </w:rPr>
            </w:pPr>
            <w:r>
              <w:rPr>
                <w:sz w:val="22"/>
              </w:rPr>
            </w:r>
          </w:p>
        </w:tc>
      </w:tr>
    </w:tbl>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Risk Management &amp; Trading Corp.</w:t>
            </w:r>
            <w:r>
              <w:rPr>
                <w:sz w:val="22"/>
              </w:rPr>
              <w:fldChar w:fldCharType="end"/>
            </w:r>
          </w:p>
          <w:p>
            <w:pPr>
              <w:pStyle w:val="Normal"/>
              <w:rPr>
                <w:sz w:val="22"/>
              </w:rPr>
            </w:pPr>
            <w:r>
              <w:rPr>
                <w:sz w:val="22"/>
              </w:rPr>
              <w:tab/>
              <w:tab/>
              <w:tab/>
              <w:tab/>
              <w:tab/>
            </w:r>
          </w:p>
          <w:p>
            <w:pPr>
              <w:pStyle w:val="Normal"/>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Kevin Presto</w:t>
            </w:r>
            <w:r>
              <w:rPr>
                <w:sz w:val="22"/>
              </w:rPr>
              <w:fldChar w:fldCharType="end"/>
            </w:r>
          </w:p>
          <w:p>
            <w:pPr>
              <w:pStyle w:val="Normal"/>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Vice President</w:t>
            </w:r>
            <w:r>
              <w:rPr>
                <w:sz w:val="22"/>
              </w:rPr>
              <w:fldChar w:fldCharType="end"/>
            </w:r>
          </w:p>
        </w:tc>
        <w:tc>
          <w:tcPr>
            <w:tcW w:w="5292" w:type="dxa"/>
            <w:tcBorders/>
          </w:tcPr>
          <w:p>
            <w:pPr>
              <w:pStyle w:val="Normal"/>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253387.01</w:t>
            </w:r>
            <w:r>
              <w:rPr>
                <w:sz w:val="22"/>
              </w:rPr>
              <w:fldChar w:fldCharType="end"/>
            </w:r>
            <w:r>
              <w:rPr>
                <w:sz w:val="22"/>
              </w:rPr>
              <w:t xml:space="preserve"> </w:t>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Enron Energy Services, Inc.</w:t>
            </w:r>
            <w:r>
              <w:rPr>
                <w:sz w:val="22"/>
              </w:rPr>
              <w:fldChar w:fldCharType="end"/>
            </w:r>
          </w:p>
          <w:p>
            <w:pPr>
              <w:pStyle w:val="Normal"/>
              <w:rPr>
                <w:sz w:val="22"/>
              </w:rPr>
            </w:pPr>
            <w:r>
              <w:rPr>
                <w:sz w:val="22"/>
              </w:rPr>
            </w:r>
          </w:p>
          <w:p>
            <w:pPr>
              <w:pStyle w:val="Normal"/>
              <w:rPr>
                <w:sz w:val="22"/>
              </w:rPr>
            </w:pPr>
            <w:r>
              <w:rPr>
                <w:sz w:val="22"/>
              </w:rPr>
            </w:r>
          </w:p>
          <w:p>
            <w:pPr>
              <w:pStyle w:val="Normal"/>
              <w:rPr/>
            </w:pPr>
            <w:r>
              <w:rPr>
                <w:sz w:val="22"/>
              </w:rPr>
              <w:t xml:space="preserve">By:  </w:t>
            </w:r>
            <w:r>
              <w:rPr>
                <w:sz w:val="22"/>
                <w:u w:val="single"/>
              </w:rPr>
              <w:tab/>
              <w:tab/>
              <w:tab/>
              <w:tab/>
              <w:tab/>
            </w:r>
            <w:r>
              <w:rPr>
                <w:sz w:val="22"/>
              </w:rPr>
              <w:tab/>
            </w:r>
          </w:p>
          <w:p>
            <w:pPr>
              <w:pStyle w:val="Normal"/>
              <w:rPr/>
            </w:pPr>
            <w:r>
              <w:rPr>
                <w:sz w:val="22"/>
              </w:rPr>
              <w:t xml:space="preserve">Name:  </w:t>
            </w:r>
            <w:r>
              <w:rPr>
                <w:sz w:val="22"/>
                <w:u w:val="single"/>
              </w:rPr>
              <w:tab/>
              <w:tab/>
              <w:tab/>
              <w:tab/>
              <w:tab/>
            </w:r>
          </w:p>
          <w:p>
            <w:pPr>
              <w:pStyle w:val="Normal"/>
              <w:rPr>
                <w:sz w:val="22"/>
              </w:rPr>
            </w:pPr>
            <w:r>
              <w:rPr>
                <w:sz w:val="22"/>
              </w:rPr>
              <w:t xml:space="preserve">Title:  </w:t>
            </w:r>
            <w:r>
              <w:rPr>
                <w:sz w:val="22"/>
                <w:u w:val="single"/>
              </w:rPr>
              <w:tab/>
              <w:tab/>
              <w:tab/>
              <w:tab/>
              <w:tab/>
            </w:r>
          </w:p>
        </w:tc>
      </w:tr>
    </w:tbl>
    <w:p>
      <w:pPr>
        <w:pStyle w:val="Normal"/>
        <w:rPr/>
      </w:pPr>
      <w:r>
        <w:rPr/>
        <w:tab/>
        <w:tab/>
        <w:tab/>
        <w:tab/>
        <w:tab/>
      </w:r>
    </w:p>
    <w:p>
      <w:pPr>
        <w:pStyle w:val="Normal"/>
        <w:rPr/>
      </w:pPr>
      <w:r>
        <w:rPr/>
      </w:r>
    </w:p>
    <w:p>
      <w:pPr>
        <w:pStyle w:val="Normal"/>
        <w:rPr/>
      </w:pPr>
      <w:r>
        <w:rPr/>
      </w:r>
    </w:p>
    <w:p>
      <w:pPr>
        <w:pStyle w:val="Normal"/>
        <w:rPr/>
      </w:pPr>
      <w:r>
        <w:rPr/>
      </w:r>
    </w:p>
    <w:p>
      <w:pPr>
        <w:pStyle w:val="Normal"/>
        <w:rPr/>
      </w:pPr>
      <w:r>
        <w:rPr/>
      </w:r>
    </w:p>
    <w:p>
      <w:pPr>
        <w:pStyle w:val="Normal"/>
        <w:jc w:val="center"/>
        <w:rPr/>
      </w:pPr>
      <w:r>
        <w:rPr/>
      </w:r>
    </w:p>
    <w:p>
      <w:pPr>
        <w:pStyle w:val="Heading1"/>
        <w:ind w:hanging="0" w:start="0"/>
        <w:rPr/>
      </w:pPr>
      <w:r>
        <w:rPr/>
        <w:t>Attachment A</w:t>
      </w:r>
    </w:p>
    <w:p>
      <w:pPr>
        <w:pStyle w:val="Normal"/>
        <w:rPr/>
      </w:pPr>
      <w:r>
        <w:rPr/>
      </w:r>
    </w:p>
    <w:p>
      <w:pPr>
        <w:pStyle w:val="Normal"/>
        <w:rPr/>
      </w:pPr>
      <w:r>
        <w:rPr/>
      </w:r>
    </w:p>
    <w:tbl>
      <w:tblPr>
        <w:tblW w:w="3185" w:type="dxa"/>
        <w:jc w:val="start"/>
        <w:tblInd w:w="0" w:type="dxa"/>
        <w:tblLayout w:type="fixed"/>
        <w:tblCellMar>
          <w:top w:w="0" w:type="dxa"/>
          <w:start w:w="30" w:type="dxa"/>
          <w:bottom w:w="0" w:type="dxa"/>
          <w:end w:w="30" w:type="dxa"/>
        </w:tblCellMar>
      </w:tblPr>
      <w:tblGrid>
        <w:gridCol w:w="1639"/>
        <w:gridCol w:w="1546"/>
      </w:tblGrid>
      <w:tr>
        <w:trPr>
          <w:trHeight w:val="1730" w:hRule="atLeast"/>
        </w:trPr>
        <w:tc>
          <w:tcPr>
            <w:tcW w:w="1639"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20"/>
                <w:lang w:eastAsia="en-US"/>
              </w:rPr>
            </w:pPr>
            <w:r>
              <w:rPr>
                <w:b/>
                <w:color w:val="000000"/>
                <w:sz w:val="20"/>
                <w:lang w:eastAsia="en-US"/>
              </w:rPr>
              <w:t>Calculation Period</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b/>
                <w:color w:val="000000"/>
                <w:sz w:val="20"/>
                <w:lang w:eastAsia="en-US"/>
              </w:rPr>
            </w:pPr>
            <w:r>
              <w:rPr>
                <w:b/>
                <w:color w:val="000000"/>
                <w:sz w:val="20"/>
                <w:lang w:eastAsia="en-US"/>
              </w:rPr>
              <w:t>Notional Quantity per Calculation Period (MWs per hour for each On-Peak Hour)</w:t>
            </w:r>
          </w:p>
        </w:tc>
      </w:tr>
      <w:tr>
        <w:trPr>
          <w:trHeight w:val="247" w:hRule="atLeast"/>
        </w:trPr>
        <w:tc>
          <w:tcPr>
            <w:tcW w:w="163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Jan-06</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32</w:t>
            </w:r>
          </w:p>
        </w:tc>
      </w:tr>
      <w:tr>
        <w:trPr>
          <w:trHeight w:val="247" w:hRule="atLeast"/>
        </w:trPr>
        <w:tc>
          <w:tcPr>
            <w:tcW w:w="163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Feb-06</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32</w:t>
            </w:r>
          </w:p>
        </w:tc>
      </w:tr>
      <w:tr>
        <w:trPr>
          <w:trHeight w:val="247" w:hRule="atLeast"/>
        </w:trPr>
        <w:tc>
          <w:tcPr>
            <w:tcW w:w="163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Mar-06</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36</w:t>
            </w:r>
          </w:p>
        </w:tc>
      </w:tr>
      <w:tr>
        <w:trPr>
          <w:trHeight w:val="247" w:hRule="atLeast"/>
        </w:trPr>
        <w:tc>
          <w:tcPr>
            <w:tcW w:w="163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Apr-06</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35</w:t>
            </w:r>
          </w:p>
        </w:tc>
      </w:tr>
      <w:tr>
        <w:trPr>
          <w:trHeight w:val="247" w:hRule="atLeast"/>
        </w:trPr>
        <w:tc>
          <w:tcPr>
            <w:tcW w:w="163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May-06</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26</w:t>
            </w:r>
          </w:p>
        </w:tc>
      </w:tr>
      <w:tr>
        <w:trPr>
          <w:trHeight w:val="247" w:hRule="atLeast"/>
        </w:trPr>
        <w:tc>
          <w:tcPr>
            <w:tcW w:w="163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Jun-06</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21</w:t>
            </w:r>
          </w:p>
        </w:tc>
      </w:tr>
      <w:tr>
        <w:trPr>
          <w:trHeight w:val="247" w:hRule="atLeast"/>
        </w:trPr>
        <w:tc>
          <w:tcPr>
            <w:tcW w:w="163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Jul-06</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13</w:t>
            </w:r>
          </w:p>
        </w:tc>
      </w:tr>
      <w:tr>
        <w:trPr>
          <w:trHeight w:val="247" w:hRule="atLeast"/>
        </w:trPr>
        <w:tc>
          <w:tcPr>
            <w:tcW w:w="163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Aug-06</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12</w:t>
            </w:r>
          </w:p>
        </w:tc>
      </w:tr>
      <w:tr>
        <w:trPr>
          <w:trHeight w:val="247" w:hRule="atLeast"/>
        </w:trPr>
        <w:tc>
          <w:tcPr>
            <w:tcW w:w="163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Sep-06</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28</w:t>
            </w:r>
          </w:p>
        </w:tc>
      </w:tr>
      <w:tr>
        <w:trPr>
          <w:trHeight w:val="247" w:hRule="atLeast"/>
        </w:trPr>
        <w:tc>
          <w:tcPr>
            <w:tcW w:w="163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Oct-06</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29</w:t>
            </w:r>
          </w:p>
        </w:tc>
      </w:tr>
      <w:tr>
        <w:trPr>
          <w:trHeight w:val="247" w:hRule="atLeast"/>
        </w:trPr>
        <w:tc>
          <w:tcPr>
            <w:tcW w:w="163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Nov-06</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30</w:t>
            </w:r>
          </w:p>
        </w:tc>
      </w:tr>
      <w:tr>
        <w:trPr>
          <w:trHeight w:val="247" w:hRule="atLeast"/>
        </w:trPr>
        <w:tc>
          <w:tcPr>
            <w:tcW w:w="163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Dec-06</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29</w:t>
            </w:r>
          </w:p>
        </w:tc>
      </w:tr>
      <w:tr>
        <w:trPr>
          <w:trHeight w:val="247" w:hRule="atLeast"/>
        </w:trPr>
        <w:tc>
          <w:tcPr>
            <w:tcW w:w="163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Jan-07</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32</w:t>
            </w:r>
          </w:p>
        </w:tc>
      </w:tr>
      <w:tr>
        <w:trPr>
          <w:trHeight w:val="247" w:hRule="atLeast"/>
        </w:trPr>
        <w:tc>
          <w:tcPr>
            <w:tcW w:w="163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Feb-07</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32</w:t>
            </w:r>
          </w:p>
        </w:tc>
      </w:tr>
      <w:tr>
        <w:trPr>
          <w:trHeight w:val="247" w:hRule="atLeast"/>
        </w:trPr>
        <w:tc>
          <w:tcPr>
            <w:tcW w:w="163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Mar-07</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36</w:t>
            </w:r>
          </w:p>
        </w:tc>
      </w:tr>
      <w:tr>
        <w:trPr>
          <w:trHeight w:val="247" w:hRule="atLeast"/>
        </w:trPr>
        <w:tc>
          <w:tcPr>
            <w:tcW w:w="163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Apr-07</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35</w:t>
            </w:r>
          </w:p>
        </w:tc>
      </w:tr>
      <w:tr>
        <w:trPr>
          <w:trHeight w:val="247" w:hRule="atLeast"/>
        </w:trPr>
        <w:tc>
          <w:tcPr>
            <w:tcW w:w="163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May-07</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26</w:t>
            </w:r>
          </w:p>
        </w:tc>
      </w:tr>
      <w:tr>
        <w:trPr>
          <w:trHeight w:val="247" w:hRule="atLeast"/>
        </w:trPr>
        <w:tc>
          <w:tcPr>
            <w:tcW w:w="163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Jun-07</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21</w:t>
            </w:r>
          </w:p>
        </w:tc>
      </w:tr>
      <w:tr>
        <w:trPr>
          <w:trHeight w:val="247" w:hRule="atLeast"/>
        </w:trPr>
        <w:tc>
          <w:tcPr>
            <w:tcW w:w="163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Jul-07</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13</w:t>
            </w:r>
          </w:p>
        </w:tc>
      </w:tr>
      <w:tr>
        <w:trPr>
          <w:trHeight w:val="247" w:hRule="atLeast"/>
        </w:trPr>
        <w:tc>
          <w:tcPr>
            <w:tcW w:w="163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Aug-07</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12</w:t>
            </w:r>
          </w:p>
        </w:tc>
      </w:tr>
      <w:tr>
        <w:trPr>
          <w:trHeight w:val="247" w:hRule="atLeast"/>
        </w:trPr>
        <w:tc>
          <w:tcPr>
            <w:tcW w:w="163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Sep-07</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28</w:t>
            </w:r>
          </w:p>
        </w:tc>
      </w:tr>
      <w:tr>
        <w:trPr>
          <w:trHeight w:val="247" w:hRule="atLeast"/>
        </w:trPr>
        <w:tc>
          <w:tcPr>
            <w:tcW w:w="163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Oct-07</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29</w:t>
            </w:r>
          </w:p>
        </w:tc>
      </w:tr>
      <w:tr>
        <w:trPr>
          <w:trHeight w:val="247" w:hRule="atLeast"/>
        </w:trPr>
        <w:tc>
          <w:tcPr>
            <w:tcW w:w="163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Nov-07</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30</w:t>
            </w:r>
          </w:p>
        </w:tc>
      </w:tr>
      <w:tr>
        <w:trPr>
          <w:trHeight w:val="247" w:hRule="atLeast"/>
        </w:trPr>
        <w:tc>
          <w:tcPr>
            <w:tcW w:w="163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Dec-07</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29</w:t>
            </w:r>
          </w:p>
        </w:tc>
      </w:tr>
      <w:tr>
        <w:trPr>
          <w:trHeight w:val="247" w:hRule="atLeast"/>
        </w:trPr>
        <w:tc>
          <w:tcPr>
            <w:tcW w:w="163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Jan-08</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32</w:t>
            </w:r>
          </w:p>
        </w:tc>
      </w:tr>
      <w:tr>
        <w:trPr>
          <w:trHeight w:val="247" w:hRule="atLeast"/>
        </w:trPr>
        <w:tc>
          <w:tcPr>
            <w:tcW w:w="163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Feb-08</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32</w:t>
            </w:r>
          </w:p>
        </w:tc>
      </w:tr>
      <w:tr>
        <w:trPr>
          <w:trHeight w:val="247" w:hRule="atLeast"/>
        </w:trPr>
        <w:tc>
          <w:tcPr>
            <w:tcW w:w="163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Mar-08</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36</w:t>
            </w:r>
          </w:p>
        </w:tc>
      </w:tr>
      <w:tr>
        <w:trPr>
          <w:trHeight w:val="247" w:hRule="atLeast"/>
        </w:trPr>
        <w:tc>
          <w:tcPr>
            <w:tcW w:w="163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Apr-08</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35</w:t>
            </w:r>
          </w:p>
        </w:tc>
      </w:tr>
      <w:tr>
        <w:trPr>
          <w:trHeight w:val="247" w:hRule="atLeast"/>
        </w:trPr>
        <w:tc>
          <w:tcPr>
            <w:tcW w:w="163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May-08</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26</w:t>
            </w:r>
          </w:p>
        </w:tc>
      </w:tr>
      <w:tr>
        <w:trPr>
          <w:trHeight w:val="247" w:hRule="atLeast"/>
        </w:trPr>
        <w:tc>
          <w:tcPr>
            <w:tcW w:w="163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Jun-08</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21</w:t>
            </w:r>
          </w:p>
        </w:tc>
      </w:tr>
      <w:tr>
        <w:trPr>
          <w:trHeight w:val="247" w:hRule="atLeast"/>
        </w:trPr>
        <w:tc>
          <w:tcPr>
            <w:tcW w:w="163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Jul-08</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13</w:t>
            </w:r>
          </w:p>
        </w:tc>
      </w:tr>
      <w:tr>
        <w:trPr>
          <w:trHeight w:val="247" w:hRule="atLeast"/>
        </w:trPr>
        <w:tc>
          <w:tcPr>
            <w:tcW w:w="163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Aug-08</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12</w:t>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253387.01</w:t>
    </w:r>
    <w:r>
      <w:rPr>
        <w:sz w:val="22"/>
      </w:rPr>
      <w:fldChar w:fldCharType="end"/>
    </w:r>
    <w:r>
      <w:rPr>
        <w:sz w:val="22"/>
      </w:rPr>
      <w:t>, 253387.02, 253387.03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2001-02-23T11:51:00Z</dcterms:created>
  <dc:creator>ECT</dc:creator>
  <dc:description/>
  <dc:language>en-CA</dc:language>
  <cp:lastModifiedBy>mmurphy</cp:lastModifiedBy>
  <dcterms:modified xsi:type="dcterms:W3CDTF">2001-02-23T12:08:00Z</dcterms:modified>
  <cp:revision>4</cp:revision>
  <dc:subject/>
  <dc:title>253387.01</dc:title>
</cp:coreProperties>
</file>