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288" w:type="dxa"/>
        <w:jc w:val="start"/>
        <w:tblInd w:w="0" w:type="dxa"/>
        <w:tblLayout w:type="fixed"/>
        <w:tblCellMar>
          <w:top w:w="0" w:type="dxa"/>
          <w:start w:w="108" w:type="dxa"/>
          <w:bottom w:w="0" w:type="dxa"/>
          <w:end w:w="108" w:type="dxa"/>
        </w:tblCellMar>
      </w:tblPr>
      <w:tblGrid>
        <w:gridCol w:w="1458"/>
        <w:gridCol w:w="7830"/>
      </w:tblGrid>
      <w:tr>
        <w:trPr/>
        <w:tc>
          <w:tcPr>
            <w:tcW w:w="1458" w:type="dxa"/>
            <w:tcBorders/>
          </w:tcPr>
          <w:p>
            <w:pPr>
              <w:pStyle w:val="Normal"/>
              <w:snapToGrid w:val="false"/>
              <w:jc w:val="center"/>
              <w:rPr>
                <w:b/>
                <w:sz w:val="20"/>
                <w:lang w:val="en-CA"/>
              </w:rPr>
            </w:pPr>
            <w:r>
              <w:rPr>
                <w:b/>
                <w:sz w:val="20"/>
                <w:lang w:val="en-CA"/>
              </w:rPr>
              <w:drawing>
                <wp:anchor behindDoc="0" distT="0" distB="0" distL="114935" distR="114935" simplePos="0" locked="0" layoutInCell="0" allowOverlap="1" relativeHeight="2">
                  <wp:simplePos x="0" y="0"/>
                  <wp:positionH relativeFrom="margin">
                    <wp:posOffset>0</wp:posOffset>
                  </wp:positionH>
                  <wp:positionV relativeFrom="paragraph">
                    <wp:posOffset>-549910</wp:posOffset>
                  </wp:positionV>
                  <wp:extent cx="674370" cy="68199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7" t="-17" r="-17" b="-17"/>
                          <a:stretch>
                            <a:fillRect/>
                          </a:stretch>
                        </pic:blipFill>
                        <pic:spPr bwMode="auto">
                          <a:xfrm>
                            <a:off x="0" y="0"/>
                            <a:ext cx="674370" cy="681990"/>
                          </a:xfrm>
                          <a:prstGeom prst="rect">
                            <a:avLst/>
                          </a:prstGeom>
                          <a:noFill/>
                        </pic:spPr>
                      </pic:pic>
                    </a:graphicData>
                  </a:graphic>
                </wp:anchor>
              </w:drawing>
            </w:r>
          </w:p>
        </w:tc>
        <w:tc>
          <w:tcPr>
            <w:tcW w:w="7830" w:type="dxa"/>
            <w:tcBorders/>
          </w:tcPr>
          <w:p>
            <w:pPr>
              <w:pStyle w:val="Normal"/>
              <w:jc w:val="center"/>
              <w:rPr>
                <w:b/>
                <w:sz w:val="40"/>
              </w:rPr>
            </w:pPr>
            <w:r>
              <w:rPr>
                <w:rFonts w:cs="Tahoma" w:ascii="Tahoma" w:hAnsi="Tahoma"/>
                <w:b/>
                <w:sz w:val="40"/>
              </w:rPr>
              <w:t>Audited Report for Retail Marketers for the Year 2000</w:t>
            </w:r>
          </w:p>
          <w:p>
            <w:pPr>
              <w:pStyle w:val="Normal"/>
              <w:rPr>
                <w:b/>
                <w:sz w:val="40"/>
              </w:rPr>
            </w:pPr>
            <w:r>
              <w:rPr>
                <w:b/>
                <w:sz w:val="40"/>
              </w:rPr>
            </w:r>
          </w:p>
        </w:tc>
      </w:tr>
    </w:tbl>
    <w:p>
      <w:pPr>
        <w:pStyle w:val="Normal"/>
        <w:rPr>
          <w:sz w:val="20"/>
        </w:rPr>
      </w:pPr>
      <w:r>
        <w:rPr>
          <w:sz w:val="20"/>
        </w:rPr>
        <w:t>Please complete the form below for products certified under the Green-e Renewable Electricity Certification Program.  One form may be used for multiple products from the same supply sources that differ only in proportion of renewables. However, a separate report form must be filled out for each product if the products have different supply sources. This form is due to CRS by March 1, 2001.</w:t>
      </w:r>
    </w:p>
    <w:p>
      <w:pPr>
        <w:pStyle w:val="Normal"/>
        <w:rPr>
          <w:sz w:val="20"/>
        </w:rPr>
      </w:pPr>
      <w:r>
        <w:rPr>
          <w:sz w:val="20"/>
        </w:rPr>
      </w:r>
    </w:p>
    <w:p>
      <w:pPr>
        <w:pStyle w:val="Normal"/>
        <w:rPr>
          <w:rFonts w:ascii="Tahoma" w:hAnsi="Tahoma" w:cs="Tahoma"/>
          <w:b/>
          <w:sz w:val="20"/>
          <w:u w:val="single"/>
        </w:rPr>
      </w:pPr>
      <w:r>
        <w:rPr>
          <w:rFonts w:cs="Tahoma" w:ascii="Tahoma" w:hAnsi="Tahoma"/>
          <w:b/>
          <w:sz w:val="20"/>
          <w:u w:val="single"/>
        </w:rPr>
        <w:t>Company Name:</w:t>
      </w:r>
      <w:r>
        <w:rPr>
          <w:rFonts w:cs="Tahoma" w:ascii="Tahoma" w:hAnsi="Tahoma"/>
          <w:b/>
          <w:sz w:val="20"/>
        </w:rPr>
        <w:tab/>
        <w:t>Enron Energy Services, Inc.</w:t>
      </w:r>
    </w:p>
    <w:p>
      <w:pPr>
        <w:pStyle w:val="Normal"/>
        <w:rPr>
          <w:rFonts w:ascii="Tahoma" w:hAnsi="Tahoma" w:cs="Tahoma"/>
          <w:b/>
          <w:sz w:val="20"/>
          <w:u w:val="single"/>
        </w:rPr>
      </w:pPr>
      <w:r>
        <w:rPr>
          <w:rFonts w:cs="Tahoma" w:ascii="Tahoma" w:hAnsi="Tahoma"/>
          <w:b/>
          <w:sz w:val="20"/>
          <w:u w:val="single"/>
        </w:rPr>
      </w:r>
    </w:p>
    <w:p>
      <w:pPr>
        <w:pStyle w:val="Normal"/>
        <w:rPr>
          <w:rFonts w:ascii="Tahoma" w:hAnsi="Tahoma" w:cs="Tahoma"/>
          <w:b/>
          <w:sz w:val="20"/>
          <w:u w:val="single"/>
        </w:rPr>
      </w:pPr>
      <w:r>
        <w:rPr>
          <w:rFonts w:cs="Tahoma" w:ascii="Tahoma" w:hAnsi="Tahoma"/>
          <w:b/>
          <w:sz w:val="20"/>
          <w:u w:val="single"/>
        </w:rPr>
        <w:t>Period of Report:</w:t>
      </w:r>
    </w:p>
    <w:p>
      <w:pPr>
        <w:pStyle w:val="Normal"/>
        <w:rPr>
          <w:sz w:val="20"/>
        </w:rPr>
      </w:pPr>
      <w:r>
        <w:rPr>
          <w:sz w:val="20"/>
        </w:rPr>
        <w:t>Marketers who had products certified on or before Jan. 1, 2000 should complete this report for the period of Jan. 1, 2000 to Dec. 31, 2000.  For those marketers whose products were certified mid-year in 2000, this report should be completed only for the time period that the product was certified.</w:t>
      </w:r>
    </w:p>
    <w:p>
      <w:pPr>
        <w:pStyle w:val="Normal"/>
        <w:rPr>
          <w:sz w:val="20"/>
        </w:rPr>
      </w:pPr>
      <w:r>
        <w:rPr>
          <w:sz w:val="20"/>
        </w:rPr>
      </w:r>
    </w:p>
    <w:p>
      <w:pPr>
        <w:pStyle w:val="Normal"/>
        <w:rPr>
          <w:sz w:val="20"/>
        </w:rPr>
      </w:pPr>
      <w:r>
        <w:rPr>
          <w:sz w:val="20"/>
        </w:rPr>
        <w:t>From: January 1, 2000</w:t>
        <w:tab/>
        <w:t>To: December 31, 2000</w:t>
      </w:r>
    </w:p>
    <w:p>
      <w:pPr>
        <w:pStyle w:val="Normal"/>
        <w:rPr>
          <w:b/>
          <w:sz w:val="20"/>
          <w:u w:val="single"/>
        </w:rPr>
      </w:pPr>
      <w:r>
        <w:rPr>
          <w:b/>
          <w:sz w:val="20"/>
          <w:u w:val="single"/>
        </w:rPr>
      </w:r>
    </w:p>
    <w:p>
      <w:pPr>
        <w:pStyle w:val="Normal"/>
        <w:rPr>
          <w:rFonts w:ascii="Tahoma" w:hAnsi="Tahoma" w:cs="Tahoma"/>
          <w:b/>
          <w:sz w:val="20"/>
          <w:u w:val="single"/>
        </w:rPr>
      </w:pPr>
      <w:r>
        <w:rPr>
          <w:rFonts w:cs="Tahoma" w:ascii="Tahoma" w:hAnsi="Tahoma"/>
          <w:b/>
          <w:sz w:val="20"/>
          <w:u w:val="single"/>
        </w:rPr>
        <w:t>Product(s) Name(s):</w:t>
      </w:r>
    </w:p>
    <w:p>
      <w:pPr>
        <w:pStyle w:val="Normal"/>
        <w:rPr>
          <w:sz w:val="20"/>
          <w:u w:val="single"/>
        </w:rPr>
      </w:pPr>
      <w:r>
        <w:rPr>
          <w:sz w:val="20"/>
        </w:rPr>
        <w:t xml:space="preserve">Product 1: Enron Earth Smart </w:t>
      </w:r>
      <w:r>
        <w:rPr>
          <w:position w:val="6"/>
          <w:sz w:val="12"/>
        </w:rPr>
        <w:t xml:space="preserve">SM  </w:t>
      </w:r>
      <w:r>
        <w:rPr>
          <w:sz w:val="20"/>
        </w:rPr>
        <w:t>50</w:t>
      </w:r>
    </w:p>
    <w:p>
      <w:pPr>
        <w:pStyle w:val="Normal"/>
        <w:rPr>
          <w:sz w:val="20"/>
          <w:u w:val="single"/>
        </w:rPr>
      </w:pPr>
      <w:r>
        <w:rPr>
          <w:sz w:val="20"/>
        </w:rPr>
        <w:t xml:space="preserve">Product 2: Enron Earth Smart </w:t>
      </w:r>
      <w:r>
        <w:rPr>
          <w:position w:val="6"/>
          <w:sz w:val="12"/>
        </w:rPr>
        <w:t xml:space="preserve">SM  </w:t>
      </w:r>
      <w:r>
        <w:rPr>
          <w:sz w:val="20"/>
        </w:rPr>
        <w:t>100</w:t>
      </w:r>
    </w:p>
    <w:p>
      <w:pPr>
        <w:pStyle w:val="Normal"/>
        <w:rPr>
          <w:sz w:val="20"/>
          <w:u w:val="single"/>
        </w:rPr>
      </w:pPr>
      <w:r>
        <w:rPr>
          <w:sz w:val="20"/>
          <w:u w:val="single"/>
        </w:rPr>
      </w:r>
    </w:p>
    <w:p>
      <w:pPr>
        <w:pStyle w:val="Normal"/>
        <w:rPr>
          <w:rFonts w:ascii="Tahoma" w:hAnsi="Tahoma" w:cs="Tahoma"/>
          <w:b/>
          <w:sz w:val="20"/>
          <w:u w:val="single"/>
        </w:rPr>
      </w:pPr>
      <w:r>
        <w:rPr>
          <w:rFonts w:cs="Tahoma" w:ascii="Tahoma" w:hAnsi="Tahoma"/>
          <w:b/>
          <w:sz w:val="20"/>
          <w:u w:val="single"/>
        </w:rPr>
        <w:t>Demand:</w:t>
      </w:r>
    </w:p>
    <w:p>
      <w:pPr>
        <w:pStyle w:val="Normal"/>
        <w:rPr>
          <w:rFonts w:ascii="Tahoma" w:hAnsi="Tahoma" w:cs="Tahoma"/>
          <w:b/>
          <w:sz w:val="20"/>
          <w:u w:val="single"/>
        </w:rPr>
      </w:pPr>
      <w:r>
        <w:rPr>
          <w:rFonts w:cs="Tahoma" w:ascii="Tahoma" w:hAnsi="Tahoma"/>
          <w:b/>
          <w:sz w:val="20"/>
          <w:u w:val="single"/>
        </w:rPr>
      </w:r>
    </w:p>
    <w:p>
      <w:pPr>
        <w:pStyle w:val="Normal"/>
        <w:rPr/>
      </w:pPr>
      <w:r>
        <w:rPr>
          <w:sz w:val="20"/>
          <w:u w:val="single"/>
        </w:rPr>
        <w:t>213,848</w:t>
        <w:tab/>
      </w:r>
      <w:r>
        <w:rPr>
          <w:sz w:val="20"/>
        </w:rPr>
        <w:t>MWh of load was served by this product (s).  The proportion of customers served by this load was distributed by product and customer class in the following way:</w:t>
      </w:r>
    </w:p>
    <w:p>
      <w:pPr>
        <w:pStyle w:val="Normal"/>
        <w:rPr>
          <w:sz w:val="20"/>
        </w:rPr>
      </w:pPr>
      <w:r>
        <w:rPr>
          <w:sz w:val="20"/>
        </w:rPr>
      </w:r>
    </w:p>
    <w:tbl>
      <w:tblPr>
        <w:tblW w:w="10098" w:type="dxa"/>
        <w:jc w:val="start"/>
        <w:tblInd w:w="0" w:type="dxa"/>
        <w:tblLayout w:type="fixed"/>
        <w:tblCellMar>
          <w:top w:w="0" w:type="dxa"/>
          <w:start w:w="108" w:type="dxa"/>
          <w:bottom w:w="0" w:type="dxa"/>
          <w:end w:w="108" w:type="dxa"/>
        </w:tblCellMar>
      </w:tblPr>
      <w:tblGrid>
        <w:gridCol w:w="2121"/>
        <w:gridCol w:w="1497"/>
        <w:gridCol w:w="993"/>
        <w:gridCol w:w="1728"/>
        <w:gridCol w:w="1037"/>
        <w:gridCol w:w="14"/>
        <w:gridCol w:w="1714"/>
        <w:gridCol w:w="994"/>
      </w:tblGrid>
      <w:tr>
        <w:trPr/>
        <w:tc>
          <w:tcPr>
            <w:tcW w:w="2121" w:type="dxa"/>
            <w:tcBorders>
              <w:top w:val="single" w:sz="6" w:space="0" w:color="000000"/>
              <w:start w:val="single" w:sz="6" w:space="0" w:color="000000"/>
              <w:bottom w:val="single" w:sz="6" w:space="0" w:color="000000"/>
              <w:end w:val="single" w:sz="6" w:space="0" w:color="000000"/>
            </w:tcBorders>
          </w:tcPr>
          <w:p>
            <w:pPr>
              <w:pStyle w:val="Normal"/>
              <w:rPr>
                <w:b/>
                <w:sz w:val="20"/>
              </w:rPr>
            </w:pPr>
            <w:r>
              <w:rPr>
                <w:b/>
                <w:sz w:val="20"/>
              </w:rPr>
              <w:t>Product</w:t>
            </w:r>
          </w:p>
        </w:tc>
        <w:tc>
          <w:tcPr>
            <w:tcW w:w="2490" w:type="dxa"/>
            <w:gridSpan w:val="2"/>
            <w:tcBorders>
              <w:top w:val="single" w:sz="6" w:space="0" w:color="000000"/>
              <w:start w:val="single" w:sz="6" w:space="0" w:color="000000"/>
              <w:bottom w:val="single" w:sz="6" w:space="0" w:color="000000"/>
              <w:end w:val="single" w:sz="6" w:space="0" w:color="000000"/>
            </w:tcBorders>
          </w:tcPr>
          <w:p>
            <w:pPr>
              <w:pStyle w:val="Normal"/>
              <w:rPr/>
            </w:pPr>
            <w:r>
              <w:rPr>
                <w:sz w:val="20"/>
              </w:rPr>
              <w:t xml:space="preserve">1: Enron Earth Smart </w:t>
            </w:r>
            <w:r>
              <w:rPr>
                <w:position w:val="6"/>
                <w:sz w:val="12"/>
              </w:rPr>
              <w:t xml:space="preserve">SM  </w:t>
            </w:r>
            <w:r>
              <w:rPr>
                <w:sz w:val="20"/>
              </w:rPr>
              <w:t>50</w:t>
            </w:r>
          </w:p>
        </w:tc>
        <w:tc>
          <w:tcPr>
            <w:tcW w:w="2779" w:type="dxa"/>
            <w:gridSpan w:val="3"/>
            <w:tcBorders>
              <w:top w:val="single" w:sz="6" w:space="0" w:color="000000"/>
              <w:start w:val="single" w:sz="6" w:space="0" w:color="000000"/>
              <w:bottom w:val="single" w:sz="6" w:space="0" w:color="000000"/>
              <w:end w:val="single" w:sz="6" w:space="0" w:color="000000"/>
            </w:tcBorders>
          </w:tcPr>
          <w:p>
            <w:pPr>
              <w:pStyle w:val="Normal"/>
              <w:rPr/>
            </w:pPr>
            <w:r>
              <w:rPr>
                <w:sz w:val="20"/>
              </w:rPr>
              <w:t xml:space="preserve">2: Enron Earth Smart </w:t>
            </w:r>
            <w:r>
              <w:rPr>
                <w:position w:val="6"/>
                <w:sz w:val="12"/>
              </w:rPr>
              <w:t xml:space="preserve">SM  </w:t>
            </w:r>
            <w:r>
              <w:rPr>
                <w:sz w:val="20"/>
              </w:rPr>
              <w:t>100</w:t>
            </w:r>
          </w:p>
        </w:tc>
        <w:tc>
          <w:tcPr>
            <w:tcW w:w="2708"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3:_______________</w:t>
            </w:r>
          </w:p>
        </w:tc>
      </w:tr>
      <w:tr>
        <w:trPr/>
        <w:tc>
          <w:tcPr>
            <w:tcW w:w="2121"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1497" w:type="dxa"/>
            <w:tcBorders>
              <w:top w:val="single" w:sz="6" w:space="0" w:color="000000"/>
              <w:start w:val="single" w:sz="6" w:space="0" w:color="000000"/>
              <w:bottom w:val="single" w:sz="6" w:space="0" w:color="000000"/>
              <w:end w:val="single" w:sz="6" w:space="0" w:color="000000"/>
            </w:tcBorders>
          </w:tcPr>
          <w:p>
            <w:pPr>
              <w:pStyle w:val="Normal"/>
              <w:ind w:end="-108"/>
              <w:rPr>
                <w:sz w:val="20"/>
              </w:rPr>
            </w:pPr>
            <w:r>
              <w:rPr>
                <w:sz w:val="20"/>
              </w:rPr>
              <w:t xml:space="preserve"># Customer </w:t>
            </w:r>
            <w:r>
              <w:rPr>
                <w:b/>
                <w:sz w:val="20"/>
              </w:rPr>
              <w:t>(a)</w:t>
            </w:r>
          </w:p>
        </w:tc>
        <w:tc>
          <w:tcPr>
            <w:tcW w:w="99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MWh</w:t>
            </w:r>
          </w:p>
        </w:tc>
        <w:tc>
          <w:tcPr>
            <w:tcW w:w="172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 Customers </w:t>
            </w:r>
            <w:r>
              <w:rPr>
                <w:b/>
                <w:sz w:val="20"/>
              </w:rPr>
              <w:t>(a)</w:t>
            </w:r>
          </w:p>
        </w:tc>
        <w:tc>
          <w:tcPr>
            <w:tcW w:w="103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MWh</w:t>
            </w:r>
          </w:p>
        </w:tc>
        <w:tc>
          <w:tcPr>
            <w:tcW w:w="1728" w:type="dxa"/>
            <w:gridSpan w:val="2"/>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Customers</w:t>
            </w:r>
          </w:p>
        </w:tc>
        <w:tc>
          <w:tcPr>
            <w:tcW w:w="99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MWh</w:t>
            </w:r>
          </w:p>
        </w:tc>
      </w:tr>
      <w:tr>
        <w:trPr>
          <w:trHeight w:val="320" w:hRule="atLeast"/>
        </w:trPr>
        <w:tc>
          <w:tcPr>
            <w:tcW w:w="2121"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Residential</w:t>
            </w:r>
          </w:p>
        </w:tc>
        <w:tc>
          <w:tcPr>
            <w:tcW w:w="149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w:t>
            </w:r>
          </w:p>
        </w:tc>
        <w:tc>
          <w:tcPr>
            <w:tcW w:w="99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w:t>
            </w:r>
          </w:p>
        </w:tc>
        <w:tc>
          <w:tcPr>
            <w:tcW w:w="172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14,033</w:t>
            </w:r>
          </w:p>
        </w:tc>
        <w:tc>
          <w:tcPr>
            <w:tcW w:w="103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142,561</w:t>
            </w:r>
          </w:p>
        </w:tc>
        <w:tc>
          <w:tcPr>
            <w:tcW w:w="1728"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994"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320" w:hRule="atLeast"/>
        </w:trPr>
        <w:tc>
          <w:tcPr>
            <w:tcW w:w="2121"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Non-residential</w:t>
            </w:r>
          </w:p>
        </w:tc>
        <w:tc>
          <w:tcPr>
            <w:tcW w:w="149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w:t>
            </w:r>
          </w:p>
        </w:tc>
        <w:tc>
          <w:tcPr>
            <w:tcW w:w="99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0</w:t>
            </w:r>
          </w:p>
        </w:tc>
        <w:tc>
          <w:tcPr>
            <w:tcW w:w="172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5,429</w:t>
            </w:r>
          </w:p>
        </w:tc>
        <w:tc>
          <w:tcPr>
            <w:tcW w:w="103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71,287</w:t>
            </w:r>
          </w:p>
        </w:tc>
        <w:tc>
          <w:tcPr>
            <w:tcW w:w="1728"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994"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bl>
    <w:p>
      <w:pPr>
        <w:pStyle w:val="BodyText"/>
        <w:rPr/>
      </w:pPr>
      <w:r>
        <w:rPr>
          <w:b/>
          <w:sz w:val="20"/>
        </w:rPr>
        <w:t>(a)</w:t>
      </w:r>
      <w:r>
        <w:rPr>
          <w:sz w:val="20"/>
        </w:rPr>
        <w:t xml:space="preserve">  Amount reported in “# Customers” agrees to Schedule 2D of the CEC Annual Report row entitled “Number of Customers at Close of Year” by customer class by product type.</w:t>
      </w:r>
    </w:p>
    <w:p>
      <w:pPr>
        <w:pStyle w:val="Normal"/>
        <w:rPr>
          <w:sz w:val="20"/>
        </w:rPr>
      </w:pPr>
      <w:r>
        <w:rPr>
          <w:sz w:val="20"/>
        </w:rPr>
      </w:r>
    </w:p>
    <w:p>
      <w:pPr>
        <w:pStyle w:val="Normal"/>
        <w:rPr>
          <w:rFonts w:ascii="Tahoma" w:hAnsi="Tahoma" w:cs="Tahoma"/>
          <w:b/>
          <w:sz w:val="20"/>
          <w:u w:val="single"/>
        </w:rPr>
      </w:pPr>
      <w:r>
        <w:rPr>
          <w:rFonts w:cs="Tahoma" w:ascii="Tahoma" w:hAnsi="Tahoma"/>
          <w:b/>
          <w:sz w:val="20"/>
          <w:u w:val="single"/>
        </w:rPr>
        <w:t>Supply:</w:t>
      </w:r>
    </w:p>
    <w:p>
      <w:pPr>
        <w:pStyle w:val="Normal"/>
        <w:rPr>
          <w:rFonts w:ascii="Tahoma" w:hAnsi="Tahoma" w:cs="Tahoma"/>
          <w:b/>
          <w:sz w:val="20"/>
          <w:u w:val="single"/>
        </w:rPr>
      </w:pPr>
      <w:r>
        <w:rPr>
          <w:rFonts w:cs="Tahoma" w:ascii="Tahoma" w:hAnsi="Tahoma"/>
          <w:b/>
          <w:sz w:val="20"/>
          <w:u w:val="single"/>
        </w:rPr>
      </w:r>
    </w:p>
    <w:p>
      <w:pPr>
        <w:pStyle w:val="Normal"/>
        <w:rPr>
          <w:sz w:val="20"/>
        </w:rPr>
      </w:pPr>
      <w:r>
        <w:rPr>
          <w:sz w:val="20"/>
        </w:rPr>
        <w:t>213,848 MWh of electricity were purchased from the following fuel types consistent with product claims.  The proportion by fuel type was distributed in the following way:</w:t>
      </w:r>
    </w:p>
    <w:p>
      <w:pPr>
        <w:pStyle w:val="Normal"/>
        <w:rPr>
          <w:sz w:val="20"/>
        </w:rPr>
      </w:pPr>
      <w:r>
        <w:rPr>
          <w:sz w:val="20"/>
        </w:rPr>
      </w:r>
    </w:p>
    <w:tbl>
      <w:tblPr>
        <w:tblW w:w="8658" w:type="dxa"/>
        <w:jc w:val="start"/>
        <w:tblInd w:w="0" w:type="dxa"/>
        <w:tblLayout w:type="fixed"/>
        <w:tblCellMar>
          <w:top w:w="0" w:type="dxa"/>
          <w:start w:w="108" w:type="dxa"/>
          <w:bottom w:w="0" w:type="dxa"/>
          <w:end w:w="108" w:type="dxa"/>
        </w:tblCellMar>
      </w:tblPr>
      <w:tblGrid>
        <w:gridCol w:w="1908"/>
        <w:gridCol w:w="1530"/>
        <w:gridCol w:w="1440"/>
        <w:gridCol w:w="2340"/>
        <w:gridCol w:w="1435"/>
        <w:gridCol w:w="5"/>
      </w:tblGrid>
      <w:tr>
        <w:trPr>
          <w:trHeight w:val="240" w:hRule="exact"/>
        </w:trPr>
        <w:tc>
          <w:tcPr>
            <w:tcW w:w="4878" w:type="dxa"/>
            <w:gridSpan w:val="3"/>
            <w:tcBorders>
              <w:top w:val="single" w:sz="4" w:space="0" w:color="000000"/>
              <w:start w:val="single" w:sz="4" w:space="0" w:color="000000"/>
              <w:bottom w:val="single" w:sz="4" w:space="0" w:color="000000"/>
              <w:end w:val="single" w:sz="4" w:space="0" w:color="000000"/>
            </w:tcBorders>
            <w:shd w:fill="E5E5E5" w:val="clear"/>
          </w:tcPr>
          <w:p>
            <w:pPr>
              <w:pStyle w:val="Normal"/>
              <w:ind w:end="-108"/>
              <w:jc w:val="both"/>
              <w:rPr>
                <w:b/>
                <w:sz w:val="20"/>
              </w:rPr>
            </w:pPr>
            <w:r>
              <w:rPr>
                <w:b/>
                <w:sz w:val="20"/>
              </w:rPr>
              <w:t>Renewables:</w:t>
            </w:r>
          </w:p>
        </w:tc>
        <w:tc>
          <w:tcPr>
            <w:tcW w:w="3780" w:type="dxa"/>
            <w:gridSpan w:val="2"/>
            <w:tcBorders>
              <w:top w:val="single" w:sz="4" w:space="0" w:color="000000"/>
              <w:start w:val="single" w:sz="4" w:space="0" w:color="000000"/>
              <w:bottom w:val="single" w:sz="4" w:space="0" w:color="000000"/>
              <w:end w:val="single" w:sz="4" w:space="0" w:color="000000"/>
            </w:tcBorders>
            <w:shd w:fill="E5E5E5" w:val="clear"/>
          </w:tcPr>
          <w:p>
            <w:pPr>
              <w:pStyle w:val="Normal"/>
              <w:rPr>
                <w:b/>
                <w:sz w:val="20"/>
              </w:rPr>
            </w:pPr>
            <w:r>
              <w:rPr>
                <w:b/>
                <w:sz w:val="20"/>
              </w:rPr>
              <w:t>Non-Renewables: Not Applicable</w:t>
            </w:r>
          </w:p>
          <w:p>
            <w:pPr>
              <w:pStyle w:val="Normal"/>
              <w:rPr>
                <w:b/>
                <w:sz w:val="20"/>
              </w:rPr>
            </w:pPr>
            <w:r>
              <w:rPr>
                <w:b/>
                <w:sz w:val="20"/>
              </w:rPr>
            </w:r>
          </w:p>
        </w:tc>
      </w:tr>
      <w:tr>
        <w:trPr/>
        <w:tc>
          <w:tcPr>
            <w:tcW w:w="1908"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Total MWh Purchased</w:t>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MWh of New</w:t>
            </w:r>
          </w:p>
          <w:p>
            <w:pPr>
              <w:pStyle w:val="Normal"/>
              <w:rPr>
                <w:sz w:val="20"/>
              </w:rPr>
            </w:pPr>
            <w:r>
              <w:rPr>
                <w:sz w:val="20"/>
              </w:rPr>
              <w:t>Renewables</w:t>
            </w:r>
          </w:p>
        </w:tc>
        <w:tc>
          <w:tcPr>
            <w:tcW w:w="2340"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(list specific purchases or system purchases)</w:t>
            </w:r>
          </w:p>
        </w:tc>
        <w:tc>
          <w:tcPr>
            <w:tcW w:w="1435"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Total MWh Purchased</w:t>
            </w:r>
          </w:p>
        </w:tc>
      </w:tr>
      <w:tr>
        <w:trPr>
          <w:trHeight w:val="280" w:hRule="atLeast"/>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Biomass</w:t>
              <w:tab/>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170,277</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Large Hydroelectric</w:t>
            </w:r>
          </w:p>
        </w:tc>
        <w:tc>
          <w:tcPr>
            <w:tcW w:w="14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rHeight w:val="280" w:hRule="atLeast"/>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Geothermal</w:t>
              <w:tab/>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21,285</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Natural Gas</w:t>
            </w:r>
          </w:p>
        </w:tc>
        <w:tc>
          <w:tcPr>
            <w:tcW w:w="143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rHeight w:val="280" w:hRule="atLeast"/>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Wind</w:t>
              <w:tab/>
              <w:tab/>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22,285</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22,285</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Oil </w:t>
            </w:r>
          </w:p>
        </w:tc>
        <w:tc>
          <w:tcPr>
            <w:tcW w:w="143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rHeight w:val="245" w:hRule="atLeast"/>
        </w:trPr>
        <w:tc>
          <w:tcPr>
            <w:tcW w:w="1908" w:type="dxa"/>
            <w:vMerge w:val="restart"/>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Small Hydroelectric </w:t>
            </w:r>
          </w:p>
          <w:p>
            <w:pPr>
              <w:pStyle w:val="Normal"/>
              <w:rPr>
                <w:sz w:val="20"/>
              </w:rPr>
            </w:pPr>
            <w:r>
              <w:rPr>
                <w:sz w:val="20"/>
              </w:rPr>
              <w:t>(&lt; 30 MW)</w:t>
            </w:r>
          </w:p>
        </w:tc>
        <w:tc>
          <w:tcPr>
            <w:tcW w:w="1530" w:type="dxa"/>
            <w:vMerge w:val="restart"/>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c>
          <w:tcPr>
            <w:tcW w:w="1440" w:type="dxa"/>
            <w:vMerge w:val="restart"/>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u w:val="single"/>
              </w:rPr>
            </w:pPr>
            <w:r>
              <w:rPr>
                <w:sz w:val="20"/>
                <w:u w:val="single"/>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u w:val="single"/>
              </w:rPr>
            </w:pPr>
            <w:r>
              <w:rPr>
                <w:sz w:val="20"/>
                <w:u w:val="single"/>
              </w:rPr>
            </w:r>
          </w:p>
        </w:tc>
      </w:tr>
      <w:tr>
        <w:trPr>
          <w:trHeight w:val="244" w:hRule="atLeast"/>
        </w:trPr>
        <w:tc>
          <w:tcPr>
            <w:tcW w:w="19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u w:val="single"/>
              </w:rPr>
            </w:pPr>
            <w:r>
              <w:rPr>
                <w:sz w:val="20"/>
                <w:u w:val="single"/>
              </w:rPr>
            </w:r>
          </w:p>
        </w:tc>
        <w:tc>
          <w:tcPr>
            <w:tcW w:w="15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rHeight w:val="280" w:hRule="atLeast"/>
        </w:trPr>
        <w:tc>
          <w:tcPr>
            <w:tcW w:w="19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Solar Electric</w:t>
              <w:tab/>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System Power</w:t>
            </w:r>
          </w:p>
        </w:tc>
        <w:tc>
          <w:tcPr>
            <w:tcW w:w="143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rPr>
          <w:sz w:val="20"/>
        </w:rPr>
      </w:pPr>
      <w:r>
        <w:rPr>
          <w:sz w:val="20"/>
        </w:rPr>
        <w:t>I, , declare that the information provided above is true to the best of my knowledge.</w:t>
      </w:r>
    </w:p>
    <w:p>
      <w:pPr>
        <w:pStyle w:val="FootnoteText"/>
        <w:tabs>
          <w:tab w:val="clear" w:pos="720"/>
          <w:tab w:val="right" w:pos="3600" w:leader="none"/>
          <w:tab w:val="right" w:pos="5490" w:leader="none"/>
          <w:tab w:val="right" w:pos="9180" w:leader="none"/>
        </w:tabs>
        <w:rPr>
          <w:sz w:val="20"/>
        </w:rPr>
      </w:pPr>
      <w:r>
        <w:rPr>
          <w:sz w:val="20"/>
        </w:rPr>
      </w:r>
    </w:p>
    <w:p>
      <w:pPr>
        <w:pStyle w:val="Normal"/>
        <w:tabs>
          <w:tab w:val="clear" w:pos="720"/>
          <w:tab w:val="right" w:pos="3600" w:leader="none"/>
          <w:tab w:val="right" w:pos="3780" w:leader="none"/>
          <w:tab w:val="right" w:pos="6120" w:leader="none"/>
          <w:tab w:val="right" w:pos="9180" w:leader="none"/>
          <w:tab w:val="right" w:pos="9270" w:leader="none"/>
        </w:tabs>
        <w:rPr/>
      </w:pPr>
      <w:r>
        <w:rPr>
          <w:sz w:val="20"/>
        </w:rPr>
        <w:t>Signature:</w:t>
      </w:r>
      <w:r>
        <w:rPr>
          <w:sz w:val="20"/>
          <w:u w:val="single"/>
        </w:rPr>
        <w:tab/>
        <w:tab/>
      </w:r>
      <w:r>
        <w:rPr>
          <w:sz w:val="20"/>
        </w:rPr>
        <w:t xml:space="preserve">     Date: 5/31/01 </w:t>
        <w:tab/>
        <w:t xml:space="preserve">       Title: Vice President</w:t>
      </w:r>
    </w:p>
    <w:sectPr>
      <w:headerReference w:type="default" r:id="rId3"/>
      <w:footerReference w:type="default" r:id="rId4"/>
      <w:type w:val="nextPage"/>
      <w:pgSz w:w="12240" w:h="15840"/>
      <w:pgMar w:left="1440" w:right="1440" w:gutter="0" w:header="720" w:top="1008"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70" w:leader="none"/>
      </w:tabs>
      <w:rPr>
        <w:rFonts w:ascii="Tahoma" w:hAnsi="Tahoma" w:cs="Tahoma"/>
        <w:sz w:val="16"/>
      </w:rPr>
    </w:pPr>
    <w:r>
      <w:rPr>
        <w:rFonts w:cs="Tahoma" w:ascii="Tahoma" w:hAnsi="Tahoma"/>
        <w:sz w:val="16"/>
      </w:rPr>
      <w:t>CRS: unaudited report-retail2</w:t>
      <w:tab/>
      <w:tab/>
      <w:t>01/24/01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ahoma" w:hAnsi="Tahoma" w:cs="Tahoma"/>
        <w:b/>
        <w:sz w:val="28"/>
      </w:rPr>
    </w:pPr>
    <w:r>
      <w:rPr>
        <w:rFonts w:cs="Tahoma" w:ascii="Tahoma" w:hAnsi="Tahoma"/>
        <w:b/>
        <w:sz w:val="28"/>
      </w:rPr>
      <w:t>****CONFIDENTIAL****</w:t>
    </w:r>
  </w:p>
  <w:p>
    <w:pPr>
      <w:pStyle w:val="Normal"/>
      <w:jc w:val="center"/>
      <w:rPr>
        <w:rFonts w:ascii="Tahoma" w:hAnsi="Tahoma" w:cs="Tahoma"/>
        <w:b/>
        <w:sz w:val="20"/>
      </w:rPr>
    </w:pPr>
    <w:r>
      <w:rPr>
        <w:rFonts w:cs="Tahoma" w:ascii="Tahoma" w:hAnsi="Tahoma"/>
        <w:b/>
        <w:sz w:val="20"/>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2001-05-30T11:19:00Z</dcterms:created>
  <dc:creator>Jan Hamrin</dc:creator>
  <dc:description/>
  <dc:language>en-CA</dc:language>
  <cp:lastModifiedBy>george phillips</cp:lastModifiedBy>
  <cp:lastPrinted>2001-03-01T15:17:00Z</cp:lastPrinted>
  <dcterms:modified xsi:type="dcterms:W3CDTF">2001-05-30T20:42:00Z</dcterms:modified>
  <cp:revision>3</cp:revision>
  <dc:subject/>
  <dc:title>PROCESS REPORT AND UNAUDITED REPORT</dc:title>
</cp:coreProperties>
</file>