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August 8</w:t>
      </w:r>
      <w:r>
        <w:rPr>
          <w:vertAlign w:val="superscript"/>
        </w:rPr>
        <w:t>th</w:t>
      </w:r>
      <w:r>
        <w:rPr/>
        <w:t>, 2001</w:t>
      </w:r>
    </w:p>
    <w:p>
      <w:pPr>
        <w:pStyle w:val="Heading1"/>
        <w:ind w:hanging="0" w:start="0"/>
        <w:rPr/>
      </w:pPr>
      <w:r>
        <w:rPr/>
      </w:r>
    </w:p>
    <w:p>
      <w:pPr>
        <w:pStyle w:val="Heading1"/>
        <w:ind w:hanging="0" w:start="0"/>
        <w:rPr/>
      </w:pPr>
      <w:r>
        <w:rPr/>
        <w:t>TO: All EES Employees</w:t>
      </w:r>
    </w:p>
    <w:p>
      <w:pPr>
        <w:pStyle w:val="Normal"/>
        <w:rPr/>
      </w:pPr>
      <w:r>
        <w:rPr/>
      </w:r>
    </w:p>
    <w:p>
      <w:pPr>
        <w:pStyle w:val="Heading1"/>
        <w:ind w:hanging="0" w:start="0"/>
        <w:rPr/>
      </w:pPr>
      <w:r>
        <w:rPr/>
        <w:t>FROM: OFFICE OF THE CHAIRMAN</w:t>
      </w:r>
    </w:p>
    <w:p>
      <w:pPr>
        <w:pStyle w:val="Normal"/>
        <w:rPr/>
      </w:pPr>
      <w:r>
        <w:rPr/>
      </w:r>
    </w:p>
    <w:p>
      <w:pPr>
        <w:pStyle w:val="Heading1"/>
        <w:ind w:hanging="0" w:start="0"/>
        <w:rPr/>
      </w:pPr>
      <w:r>
        <w:rPr/>
        <w:t>RE: Organization Update – EES USA</w:t>
      </w:r>
    </w:p>
    <w:p>
      <w:pPr>
        <w:pStyle w:val="Normal"/>
        <w:rPr/>
      </w:pPr>
      <w:r>
        <w:rPr/>
      </w:r>
    </w:p>
    <w:p>
      <w:pPr>
        <w:pStyle w:val="Normal"/>
        <w:rPr/>
      </w:pPr>
      <w:r>
        <w:rPr/>
        <w:t xml:space="preserve">Given our continuing evolution, we are pleased to announce the following changes within the EES USA organization.  The goal is not to significantly change the overall structure but to increase the effectiveness and focus of the existing structure.  In particular, we are driving increased segmentation in the market facing part of the business, increased accountability in the Product Group and closer ties between the Acquisition &amp; Sourcing Group and the sales organization.  The changes in the Deal Management Group are driven by a need to increase available resources in that part of the business to support significant growth in the deal pipeline.  </w:t>
      </w:r>
    </w:p>
    <w:p>
      <w:pPr>
        <w:pStyle w:val="Normal"/>
        <w:rPr/>
      </w:pPr>
      <w:r>
        <w:rPr/>
      </w:r>
    </w:p>
    <w:p>
      <w:pPr>
        <w:pStyle w:val="Heading1"/>
        <w:ind w:hanging="0" w:start="0"/>
        <w:rPr/>
      </w:pPr>
      <w:r>
        <w:rPr/>
        <w:t>Origination</w:t>
      </w:r>
    </w:p>
    <w:p>
      <w:pPr>
        <w:pStyle w:val="Normal"/>
        <w:rPr/>
      </w:pPr>
      <w:r>
        <w:rPr/>
      </w:r>
    </w:p>
    <w:p>
      <w:pPr>
        <w:pStyle w:val="Normal"/>
        <w:rPr/>
      </w:pPr>
      <w:r>
        <w:rPr/>
        <w:t>We are further refining the market-facing activities as follows:</w:t>
      </w:r>
    </w:p>
    <w:p>
      <w:pPr>
        <w:pStyle w:val="Normal"/>
        <w:rPr/>
      </w:pPr>
      <w:r>
        <w:rPr/>
      </w:r>
    </w:p>
    <w:p>
      <w:pPr>
        <w:pStyle w:val="Normal"/>
        <w:numPr>
          <w:ilvl w:val="0"/>
          <w:numId w:val="3"/>
        </w:numPr>
        <w:rPr/>
      </w:pPr>
      <w:r>
        <w:rPr>
          <w:b/>
        </w:rPr>
        <w:t>Industrial &amp; Manufacturing Energy Services</w:t>
      </w:r>
      <w:r>
        <w:rPr/>
        <w:t xml:space="preserve"> – These two groups are being formed from the existing Energy Outsourcing function. The goal is to provide greater independent focus on the growing light industrial client base as a distinct market segment from the manufacturers.  Both segments are very large and will employ marketing strategies and products that service each distinct segment.  In both cases, the focus will be on companies with national footprints, large annual energy consumption (greater than $10mm per annum) and who generally have less than 100 facilities. They will sell structured component products and bundled services. We are pleased to announce that David Cox has joined us from</w:t>
      </w:r>
      <w:r>
        <w:rPr>
          <w:u w:val="single"/>
        </w:rPr>
        <w:t xml:space="preserve"> </w:t>
      </w:r>
      <w:r>
        <w:rPr/>
        <w:t>EBS.  David will be leading the Light Industrial Energy Services (IES) group. Michael Mann will continue to head the origination activities for the Manufacturing Energy Services (MES) group. .</w:t>
      </w:r>
    </w:p>
    <w:p>
      <w:pPr>
        <w:pStyle w:val="Normal"/>
        <w:numPr>
          <w:ilvl w:val="0"/>
          <w:numId w:val="0"/>
        </w:numPr>
        <w:ind w:hanging="0" w:start="0"/>
        <w:rPr/>
      </w:pPr>
      <w:r>
        <w:rPr/>
      </w:r>
    </w:p>
    <w:p>
      <w:pPr>
        <w:pStyle w:val="Normal"/>
        <w:numPr>
          <w:ilvl w:val="0"/>
          <w:numId w:val="3"/>
        </w:numPr>
        <w:rPr/>
      </w:pPr>
      <w:r>
        <w:rPr>
          <w:b/>
        </w:rPr>
        <w:t>Commercial Energy Services</w:t>
      </w:r>
      <w:r>
        <w:rPr/>
        <w:t xml:space="preserve"> –This group, led by Angela Schwarz, will expand its market coverage by servicing commercial clients whose energy spend is at least $10mm per annum versus $30mm in the past. They will continue to focus only on national accounts, usually with more than 100 sites and utilize standard component products and solutions that enable scale and seamless execution. We are pleased to announce the addition of Faye Worthy to this group. Faye was previously will AEP Energy Services where she was in charge of the sales to the commercial and industrial marketplace.  Faye will manage the Small Box Retail segment, Scott Porter will manage the Hospitality segment, Laurie Malone will manage the Big Box Retail segment and Gary Odland will manage the Real Estate segment.  </w:t>
      </w:r>
    </w:p>
    <w:p>
      <w:pPr>
        <w:pStyle w:val="Normal"/>
        <w:numPr>
          <w:ilvl w:val="0"/>
          <w:numId w:val="0"/>
        </w:numPr>
        <w:ind w:hanging="0" w:start="360" w:end="0"/>
        <w:rPr/>
      </w:pPr>
      <w:r>
        <w:rPr/>
      </w:r>
    </w:p>
    <w:p>
      <w:pPr>
        <w:pStyle w:val="Normal"/>
        <w:numPr>
          <w:ilvl w:val="0"/>
          <w:numId w:val="3"/>
        </w:numPr>
        <w:rPr/>
      </w:pPr>
      <w:r>
        <w:rPr/>
        <w:t>The Fast Track Origination group, which was part of the former Energy Portfolio Management group, will be sub-divided into the IES, MES and CES groups depending on where that prospective client and product fits best.  The Fast Track group created a tremendous deal pipeline and significantly advanced the focus and thinking on standard products and innovative market strategies. Craig Sutter, who headed this group, will now join the Manufacturing Energy Services group.</w:t>
      </w:r>
    </w:p>
    <w:p>
      <w:pPr>
        <w:pStyle w:val="Normal"/>
        <w:numPr>
          <w:ilvl w:val="0"/>
          <w:numId w:val="0"/>
        </w:numPr>
        <w:ind w:hanging="0" w:start="0"/>
        <w:rPr/>
      </w:pPr>
      <w:r>
        <w:rPr/>
      </w:r>
    </w:p>
    <w:p>
      <w:pPr>
        <w:pStyle w:val="Normal"/>
        <w:numPr>
          <w:ilvl w:val="0"/>
          <w:numId w:val="3"/>
        </w:numPr>
        <w:rPr/>
      </w:pPr>
      <w:r>
        <w:rPr/>
        <w:t xml:space="preserve">The Industrial, Manufacturing and Commercial Energy Services groups will continue to have dedicated </w:t>
      </w:r>
      <w:r>
        <w:rPr>
          <w:b/>
        </w:rPr>
        <w:t>Portfolio</w:t>
      </w:r>
      <w:r>
        <w:rPr/>
        <w:t xml:space="preserve"> </w:t>
      </w:r>
      <w:r>
        <w:rPr>
          <w:b/>
        </w:rPr>
        <w:t>Origination</w:t>
      </w:r>
      <w:r>
        <w:rPr/>
        <w:t xml:space="preserve"> functions. These groups will be responsible for restructuring the existing contracts, expanding the existing relationships and optimizing the value of the portfolio for EES. Gayle Muench will continue to lead this activity for both the Industrial and the Manufacturing segments. Mike Harris will lead this activity with the Commercial Energy Services group.  We will be augmenting the resources in both these groups given the proven commercial benefits of this focus.  In this vein, we have asked Richard Zdunkewicz to join Gayle Muench’s group.</w:t>
      </w:r>
    </w:p>
    <w:p>
      <w:pPr>
        <w:pStyle w:val="Normal"/>
        <w:numPr>
          <w:ilvl w:val="0"/>
          <w:numId w:val="0"/>
        </w:numPr>
        <w:ind w:hanging="0" w:start="0"/>
        <w:rPr/>
      </w:pPr>
      <w:r>
        <w:rPr/>
      </w:r>
    </w:p>
    <w:p>
      <w:pPr>
        <w:pStyle w:val="Normal"/>
        <w:numPr>
          <w:ilvl w:val="0"/>
          <w:numId w:val="3"/>
        </w:numPr>
        <w:rPr/>
      </w:pPr>
      <w:r>
        <w:rPr/>
        <w:t xml:space="preserve"> </w:t>
      </w:r>
      <w:r>
        <w:rPr/>
        <w:t xml:space="preserve">The Power and Gas Market Services group will be renamed – </w:t>
      </w:r>
      <w:r>
        <w:rPr>
          <w:b/>
        </w:rPr>
        <w:t>Regional Market Services</w:t>
      </w:r>
      <w:r>
        <w:rPr/>
        <w:t>. They will focus on clients with greater than $10mm in total annual energy spends but have predominantly regional footprints versus national (i.e. Northeast, California, Texas, Illinois and Ohio). They will emphasize commodity based solutions, but will expand their service offering to include distributed generation, load curtailment, DSM lite and vendor management services. Greg Adams will head our efforts in the Northeast, Ohio and Illinois. Greg has done a great job in the Northeast and we expect significant growth from his leadership in the Ohio and Illinois regions. Given the importance of the emerging Texas market, we have asked Eric Letke to lead our efforts in Texas for the remainder of the year. Texas is a critical market and clients with greater than 1MW of peak load will be making decisions on their energy supplier prior to January 1, 2002. We have asked Lamar Frazier to head up our regional market activities in the west.  He will continue to manage any remaining Project Golden Bear issues with the existing California client base. We will continue to monitor the regulatory environment and continually re-evaluate our marketing strategies in California accordingly.</w:t>
      </w:r>
    </w:p>
    <w:p>
      <w:pPr>
        <w:pStyle w:val="Normal"/>
        <w:numPr>
          <w:ilvl w:val="0"/>
          <w:numId w:val="0"/>
        </w:numPr>
        <w:ind w:hanging="0" w:start="0"/>
        <w:rPr/>
      </w:pPr>
      <w:r>
        <w:rPr/>
      </w:r>
    </w:p>
    <w:p>
      <w:pPr>
        <w:pStyle w:val="Normal"/>
        <w:numPr>
          <w:ilvl w:val="0"/>
          <w:numId w:val="3"/>
        </w:numPr>
        <w:rPr/>
      </w:pPr>
      <w:r>
        <w:rPr/>
        <w:t xml:space="preserve">The </w:t>
      </w:r>
      <w:r>
        <w:rPr>
          <w:b/>
        </w:rPr>
        <w:t>Sourcing and Client Acquisition</w:t>
      </w:r>
      <w:r>
        <w:rPr/>
        <w:t xml:space="preserve"> group, headed by Jeff Ader will continue its efforts, but will be incorporated into the origination organization. This will enable this function to align its business activities with the market facing functions. </w:t>
      </w:r>
    </w:p>
    <w:p>
      <w:pPr>
        <w:pStyle w:val="Normal"/>
        <w:rPr/>
      </w:pPr>
      <w:r>
        <w:rPr/>
      </w:r>
    </w:p>
    <w:p>
      <w:pPr>
        <w:pStyle w:val="Normal"/>
        <w:numPr>
          <w:ilvl w:val="0"/>
          <w:numId w:val="3"/>
        </w:numPr>
        <w:rPr/>
      </w:pPr>
      <w:r>
        <w:rPr/>
        <w:t>The efforts in the Industrial, Manufacturing, Commercial and Regional Energy Services will be coordinated under the leadership of Jeremy Blachman.  Bringing these functions together will ensure the appropriate segmentation and coordination across the large consumer segments with the least amount of duplication and conflict.  It also provides the conduit to link the sourcing and client acquisition group into the market facing functions.</w:t>
      </w:r>
    </w:p>
    <w:p>
      <w:pPr>
        <w:pStyle w:val="Normal"/>
        <w:rPr/>
      </w:pPr>
      <w:r>
        <w:rPr/>
      </w:r>
    </w:p>
    <w:p>
      <w:pPr>
        <w:pStyle w:val="Normal"/>
        <w:rPr/>
      </w:pPr>
      <w:r>
        <w:rPr/>
        <w:t>There will be no change in Enron Direct, the small consumer segments, managed by Scott Gahn.</w:t>
      </w:r>
    </w:p>
    <w:p>
      <w:pPr>
        <w:pStyle w:val="Normal"/>
        <w:numPr>
          <w:ilvl w:val="0"/>
          <w:numId w:val="0"/>
        </w:numPr>
        <w:ind w:hanging="0" w:start="0"/>
        <w:rPr/>
      </w:pPr>
      <w:r>
        <w:rPr/>
      </w:r>
    </w:p>
    <w:p>
      <w:pPr>
        <w:pStyle w:val="Normal"/>
        <w:numPr>
          <w:ilvl w:val="0"/>
          <w:numId w:val="0"/>
        </w:numPr>
        <w:ind w:hanging="0" w:start="0"/>
        <w:rPr/>
      </w:pPr>
      <w:r>
        <w:rPr/>
      </w:r>
    </w:p>
    <w:p>
      <w:pPr>
        <w:pStyle w:val="Heading1"/>
        <w:numPr>
          <w:ilvl w:val="0"/>
          <w:numId w:val="0"/>
        </w:numPr>
        <w:ind w:hanging="0" w:start="0"/>
        <w:rPr/>
      </w:pPr>
      <w:r>
        <w:rPr/>
        <w:t>Product Management</w:t>
      </w:r>
    </w:p>
    <w:p>
      <w:pPr>
        <w:pStyle w:val="Normal"/>
        <w:numPr>
          <w:ilvl w:val="0"/>
          <w:numId w:val="0"/>
        </w:numPr>
        <w:ind w:hanging="0" w:start="0"/>
        <w:rPr/>
      </w:pPr>
      <w:r>
        <w:rPr/>
      </w:r>
    </w:p>
    <w:p>
      <w:pPr>
        <w:pStyle w:val="Normal"/>
        <w:numPr>
          <w:ilvl w:val="0"/>
          <w:numId w:val="0"/>
        </w:numPr>
        <w:ind w:hanging="0" w:start="0"/>
        <w:rPr/>
      </w:pPr>
      <w:r>
        <w:rPr/>
        <w:t xml:space="preserve">This function is absolutely essential to the retail business and a key part of our drive towards scale, standardization and the packaging of products and services. We are very committed to this organization and its vision. In order to better leverage this group, increase accountability and cleanly allocate margin to the product groups, we are creating three distinct product groups aligned closely to their specific origination function and channels.  Each group will manage both the product development and delivery functions inside its group.  We are pleased to announce that Jay Lewis will head the </w:t>
      </w:r>
      <w:r>
        <w:rPr>
          <w:b/>
        </w:rPr>
        <w:t>Industrial and Manufacturing Product Group</w:t>
      </w:r>
      <w:r>
        <w:rPr/>
        <w:t xml:space="preserve"> managing product activity for the IES and MES segments.  Ken Gustafson will head the </w:t>
      </w:r>
      <w:r>
        <w:rPr>
          <w:b/>
        </w:rPr>
        <w:t>Commercial Product Group</w:t>
      </w:r>
      <w:r>
        <w:rPr/>
        <w:t xml:space="preserve"> managing the product activity for the CES segment. Jim Wood will head the </w:t>
      </w:r>
      <w:r>
        <w:rPr>
          <w:b/>
        </w:rPr>
        <w:t>Regional Products Group</w:t>
      </w:r>
      <w:r>
        <w:rPr/>
        <w:t xml:space="preserve"> managing the product activity for the Regional Market Services and Enron Direct groups. Jay and Ken will report to Jeremy to ensure close coordination and accountability with the origination groups. Jim will report to Jeremy and Scott Gahn.  </w:t>
      </w:r>
    </w:p>
    <w:p>
      <w:pPr>
        <w:pStyle w:val="Normal"/>
        <w:numPr>
          <w:ilvl w:val="0"/>
          <w:numId w:val="0"/>
        </w:numPr>
        <w:ind w:hanging="0" w:start="0"/>
        <w:rPr/>
      </w:pPr>
      <w:r>
        <w:rPr/>
      </w:r>
    </w:p>
    <w:p>
      <w:pPr>
        <w:pStyle w:val="Normal"/>
        <w:numPr>
          <w:ilvl w:val="0"/>
          <w:numId w:val="0"/>
        </w:numPr>
        <w:ind w:hanging="0" w:start="0"/>
        <w:rPr>
          <w:u w:val="single"/>
        </w:rPr>
      </w:pPr>
      <w:r>
        <w:rPr/>
        <w:t>Within each product group, the focus will be on delivering bundled and standardized component products for each segment.  For example, in the Industrial and Manufacturing Product Group, Jay will have individuals focused on commodity products, distributed generation products, DSM products and regulated commodity products. Jay and his overall group will be responsible on how these components are presented or bundled together before release to the sales groups.</w:t>
      </w:r>
    </w:p>
    <w:p>
      <w:pPr>
        <w:pStyle w:val="Normal"/>
        <w:numPr>
          <w:ilvl w:val="0"/>
          <w:numId w:val="0"/>
        </w:numPr>
        <w:ind w:hanging="0" w:start="0"/>
        <w:rPr>
          <w:u w:val="single"/>
        </w:rPr>
      </w:pPr>
      <w:r>
        <w:rPr>
          <w:u w:val="single"/>
        </w:rPr>
      </w:r>
    </w:p>
    <w:p>
      <w:pPr>
        <w:pStyle w:val="Normal"/>
        <w:numPr>
          <w:ilvl w:val="0"/>
          <w:numId w:val="0"/>
        </w:numPr>
        <w:ind w:hanging="0" w:start="0"/>
        <w:rPr/>
      </w:pPr>
      <w:r>
        <w:rPr/>
        <w:t>To reduce duplication there will be “Centers of Excellence” for each product grouping or component, like commodity or DSM, in one of the three channels.  This center will drive the creation of basic component products and provide thought leadership in its area of excellence. To ensure accountability, each channel may have a sister component group that will draw off the basic product work of the Center of Excellence in the other product channels and tailor it for its specific channel.  For example, the Center of Excellence for basic commodity products will be in the Regional Products group under Jim Wood.  However, Mitch Anderson, in the Commercial Product Group, and Dennis Benevides, in the Industrial and Manufacturing Product Group, will be accountable to develop commodity products and drive commodity product margin in their respective channels.  Mitch and Dennis will draw on the basic commodity products built in Jim’s group. This should enable us to drive product accountability in each product group and channel while reducing duplication as much as possible.</w:t>
      </w:r>
    </w:p>
    <w:p>
      <w:pPr>
        <w:pStyle w:val="Normal"/>
        <w:numPr>
          <w:ilvl w:val="0"/>
          <w:numId w:val="0"/>
        </w:numPr>
        <w:ind w:hanging="0" w:start="0"/>
        <w:rPr/>
      </w:pPr>
      <w:r>
        <w:rPr/>
      </w:r>
    </w:p>
    <w:p>
      <w:pPr>
        <w:pStyle w:val="Normal"/>
        <w:numPr>
          <w:ilvl w:val="0"/>
          <w:numId w:val="0"/>
        </w:numPr>
        <w:ind w:hanging="0" w:start="0"/>
        <w:rPr/>
      </w:pPr>
      <w:r>
        <w:rPr/>
        <w:t>In the case of leveraging broadband, weather and liquids products through the EES distribution channel, Ken Gustafson will be responsible for developing basic product ideas and the necessary interfaces with the other Enron groups including EBS and Enron Global Markets. Ken will manage these product ideas for all EES channels until the basic product suite becomes defined and proven out.</w:t>
      </w:r>
    </w:p>
    <w:p>
      <w:pPr>
        <w:pStyle w:val="Normal"/>
        <w:numPr>
          <w:ilvl w:val="0"/>
          <w:numId w:val="0"/>
        </w:numPr>
        <w:ind w:hanging="0" w:start="0"/>
        <w:rPr/>
      </w:pPr>
      <w:r>
        <w:rPr/>
      </w:r>
    </w:p>
    <w:p>
      <w:pPr>
        <w:pStyle w:val="Normal"/>
        <w:rPr/>
      </w:pPr>
      <w:r>
        <w:rPr/>
        <w:t>As before, Peggy Mahoney will continue to lead our product marketing function with responsibility for creating and optimizing our client acquisition campaigns across each market segment.  Mary Sullivan will lead the origination services and business systems functions. This group will be accountable for market segmentation activities, managing our transaction and product pipeline system and creating and coordinating  the use of product sales tools</w:t>
      </w:r>
      <w:r>
        <w:rPr>
          <w:u w:val="single"/>
        </w:rPr>
        <w:t>.</w:t>
      </w:r>
    </w:p>
    <w:p>
      <w:pPr>
        <w:pStyle w:val="Normal"/>
        <w:numPr>
          <w:ilvl w:val="0"/>
          <w:numId w:val="0"/>
        </w:numPr>
        <w:ind w:hanging="0" w:start="0"/>
        <w:rPr>
          <w:u w:val="single"/>
        </w:rPr>
      </w:pPr>
      <w:r>
        <w:rPr>
          <w:u w:val="single"/>
        </w:rPr>
      </w:r>
    </w:p>
    <w:p>
      <w:pPr>
        <w:pStyle w:val="Normal"/>
        <w:rPr/>
      </w:pPr>
      <w:r>
        <w:rPr/>
        <w:t xml:space="preserve">In the future, the product groups will be primarily focused on the development, packaging and delivery of products and services to its channels. This results in a focus on the future versus the day to day.  In order to ensure a suitable focus on the execution of transactions on a day by day basis, we will be augmenting the Deal Management and Finance organizations to manage.  In particular, as discussed below we are adding resources to the Deal Management group. The former Finance solutions group will join Cheryl Lipshutz’s EES Finance function. This will enable us to centralize the creation and funding of capital based products. </w:t>
      </w:r>
    </w:p>
    <w:p>
      <w:pPr>
        <w:pStyle w:val="Normal"/>
        <w:numPr>
          <w:ilvl w:val="0"/>
          <w:numId w:val="0"/>
        </w:numPr>
        <w:ind w:hanging="0" w:start="360" w:end="0"/>
        <w:rPr>
          <w:u w:val="single"/>
        </w:rPr>
      </w:pPr>
      <w:r>
        <w:rPr>
          <w:u w:val="single"/>
        </w:rPr>
      </w:r>
    </w:p>
    <w:p>
      <w:pPr>
        <w:pStyle w:val="Normal"/>
        <w:rPr/>
      </w:pPr>
      <w:r>
        <w:rPr/>
        <w:t>Other than these specific changes, the original vision and goals of the product group stand.</w:t>
      </w:r>
    </w:p>
    <w:p>
      <w:pPr>
        <w:pStyle w:val="Normal"/>
        <w:rPr/>
      </w:pPr>
      <w:r>
        <w:rPr/>
      </w:r>
    </w:p>
    <w:p>
      <w:pPr>
        <w:pStyle w:val="Heading1"/>
        <w:ind w:hanging="0" w:start="0"/>
        <w:rPr/>
      </w:pPr>
      <w:r>
        <w:rPr/>
        <w:t>Deal Management</w:t>
      </w:r>
    </w:p>
    <w:p>
      <w:pPr>
        <w:pStyle w:val="Normal"/>
        <w:rPr/>
      </w:pPr>
      <w:r>
        <w:rPr/>
      </w:r>
    </w:p>
    <w:p>
      <w:pPr>
        <w:pStyle w:val="Normal"/>
        <w:rPr/>
      </w:pPr>
      <w:r>
        <w:rPr/>
        <w:t>In addition to its current responsibilities, we are asking the Deal Management group to take on the clear and sole accountability for the management of the day to day transaction flow.  This requires more resources and a clearer vision of where EES structuring and solutions management should reside in the organization.  Deb Merril and Rhenn Cherry and their teams from the former Solutions Mangement function will join the Deal Management team to further the achievement of this goal.  As part of this change, Deb will lead all of our commodity deal structuring activities and Rhenn will lead all of our energy asset deal structuring activities.  In addition, Connie Estrems will now take on the role of managing all deal approval and deal process reengineering activities.  In order to continue to capture alignment opportunities; Greg Nikkel, his team, and most of the resources from the Guttenberg team will now be part of Connie’s team.</w:t>
      </w:r>
    </w:p>
    <w:p>
      <w:pPr>
        <w:pStyle w:val="Normal"/>
        <w:rPr/>
      </w:pPr>
      <w:r>
        <w:rPr/>
      </w:r>
    </w:p>
    <w:p>
      <w:pPr>
        <w:pStyle w:val="Normal"/>
        <w:rPr/>
      </w:pPr>
      <w:r>
        <w:rPr/>
        <w:t>Sean Holmes will continue to be responsible for managing the Deal Management group reporting directly to the Office of the Chairman</w:t>
      </w:r>
    </w:p>
    <w:p>
      <w:pPr>
        <w:pStyle w:val="Normal"/>
        <w:rPr/>
      </w:pPr>
      <w:r>
        <w:rPr/>
      </w:r>
    </w:p>
    <w:p>
      <w:pPr>
        <w:pStyle w:val="Normal"/>
        <w:rPr/>
      </w:pPr>
      <w:r>
        <w:rPr/>
        <w:t>All other parts of the EES organization remain unchanged.  Attached are several organization charts that describe the changes above.</w:t>
      </w:r>
    </w:p>
    <w:p>
      <w:pPr>
        <w:pStyle w:val="Normal"/>
        <w:rPr/>
      </w:pPr>
      <w:r>
        <w:rPr/>
      </w:r>
    </w:p>
    <w:p>
      <w:pPr>
        <w:pStyle w:val="Normal"/>
        <w:rPr/>
      </w:pPr>
      <w:r>
        <w:rPr/>
        <w:t xml:space="preserve">We are also pleased to introduce the formation of the </w:t>
      </w:r>
      <w:r>
        <w:rPr>
          <w:b/>
        </w:rPr>
        <w:t>Information Management</w:t>
      </w:r>
      <w:r>
        <w:rPr/>
        <w:t xml:space="preserve"> function within EES USA.  This  group’s function is threefold:</w:t>
      </w:r>
    </w:p>
    <w:p>
      <w:pPr>
        <w:pStyle w:val="Normal"/>
        <w:numPr>
          <w:ilvl w:val="0"/>
          <w:numId w:val="2"/>
        </w:numPr>
        <w:rPr/>
      </w:pPr>
      <w:r>
        <w:rPr/>
        <w:t>to develop a number of standardized energy information reporting products and internet portals for the sales functions including any software solutions being developed by EEIS;</w:t>
      </w:r>
    </w:p>
    <w:p>
      <w:pPr>
        <w:pStyle w:val="Normal"/>
        <w:numPr>
          <w:ilvl w:val="0"/>
          <w:numId w:val="2"/>
        </w:numPr>
        <w:rPr/>
      </w:pPr>
      <w:r>
        <w:rPr/>
        <w:t>to provide the thought leadership in the commercialization of technology within EES ; and</w:t>
      </w:r>
    </w:p>
    <w:p>
      <w:pPr>
        <w:pStyle w:val="Normal"/>
        <w:numPr>
          <w:ilvl w:val="0"/>
          <w:numId w:val="2"/>
        </w:numPr>
        <w:rPr/>
      </w:pPr>
      <w:r>
        <w:rPr/>
        <w:t>to facilitate tools and strategies that leverage “data-mining” in our business.  The goal would be to better utilize ours and industry data to reduce sales acquisition costs and reduce commodity risk.</w:t>
      </w:r>
    </w:p>
    <w:p>
      <w:pPr>
        <w:pStyle w:val="Normal"/>
        <w:rPr/>
      </w:pPr>
      <w:r>
        <w:rPr/>
      </w:r>
    </w:p>
    <w:p>
      <w:pPr>
        <w:pStyle w:val="Normal"/>
        <w:rPr/>
      </w:pPr>
      <w:r>
        <w:rPr/>
        <w:t xml:space="preserve">Suresh Raghavan has joined us from Enron Networks to manage this function and will report to the Office of the Chairman.  Suresh was a key member of the Networks incubators including the development and implementation of DealBench.  Suresh will work very closely with Anthony Dayao and Evan Hughes in the delivery of these products and services.  </w:t>
      </w:r>
    </w:p>
    <w:p>
      <w:pPr>
        <w:pStyle w:val="Normal"/>
        <w:rPr/>
      </w:pPr>
      <w:r>
        <w:rPr/>
      </w:r>
    </w:p>
    <w:p>
      <w:pPr>
        <w:pStyle w:val="Normal"/>
        <w:rPr/>
      </w:pPr>
      <w:r>
        <w:rPr/>
        <w:t xml:space="preserve">The first six months of 2001 have been a time of great change and evolution for EES.  We appreciate all your hard work and cooperation.  We are on the right path.  You should be proud of our financial and operating success in 2001 while investing significant time and effort into building for the future.  </w:t>
      </w:r>
    </w:p>
    <w:sectPr>
      <w:type w:val="nextPage"/>
      <w:pgSz w:w="12240" w:h="15840"/>
      <w:pgMar w:left="1080" w:right="108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style>
  <w:style w:type="character" w:styleId="WW8NumSt1z0">
    <w:name w:val="WW8NumSt1z0"/>
    <w:qFormat/>
    <w:rPr>
      <w:rFonts w:ascii="Wingdings" w:hAnsi="Wingdings" w:cs="Wingdings"/>
      <w:sz w:val="16"/>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2001-08-07T14:12:00Z</dcterms:created>
  <dc:creator>EES</dc:creator>
  <dc:description/>
  <dc:language>en-CA</dc:language>
  <cp:lastModifiedBy>sdick</cp:lastModifiedBy>
  <cp:lastPrinted>2001-08-07T13:58:00Z</cp:lastPrinted>
  <dcterms:modified xsi:type="dcterms:W3CDTF">2001-08-07T16:31:00Z</dcterms:modified>
  <cp:revision>18</cp:revision>
  <dc:subject/>
  <dc:title>TO: All  EES Employees</dc:title>
</cp:coreProperties>
</file>