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different levels of use.  Prices</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do not include regulated</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price will vary according to when and how much electricity</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charges for customer service</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you consume.  See your most recent bill for your monthly use and your Terms of</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and delivery.</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Service for the actual prices.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napToGrid w:val="false"/>
              <w:rPr/>
            </w:pPr>
            <w:r>
              <w:rPr/>
            </w:r>
          </w:p>
          <w:p>
            <w:pPr>
              <w:pStyle w:val="Normal"/>
              <w:numPr>
                <w:ilvl w:val="0"/>
                <w:numId w:val="4"/>
              </w:numPr>
              <w:rPr/>
            </w:pPr>
            <w:r>
              <w:rPr/>
              <w:t>60 Months</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napToGrid w:val="false"/>
              <w:rPr/>
            </w:pPr>
            <w:r>
              <w:rPr/>
            </w:r>
          </w:p>
          <w:p>
            <w:pPr>
              <w:pStyle w:val="Normal"/>
              <w:numPr>
                <w:ilvl w:val="0"/>
                <w:numId w:val="3"/>
              </w:numPr>
              <w:rPr/>
            </w:pPr>
            <w:r>
              <w:rPr/>
              <w:t>Contract Terms:  Fixed price, with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from all Enron Energy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Marketing Corp. customers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in the period 10/1/00 to</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3/31/01 was met by generation</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15%</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15%</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from the following 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23%</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tcBorders>
          </w:tcPr>
          <w:p>
            <w:pPr>
              <w:pStyle w:val="Normal"/>
              <w:snapToGrid w:val="false"/>
              <w:rPr/>
            </w:pPr>
            <w:r>
              <w:rPr/>
            </w:r>
          </w:p>
        </w:tc>
        <w:tc>
          <w:tcPr>
            <w:tcW w:w="3870" w:type="dxa"/>
            <w:gridSpan w:val="5"/>
            <w:tcBorders>
              <w:top w:val="single" w:sz="4" w:space="0" w:color="000000"/>
              <w:start w:val="single" w:sz="2" w:space="0" w:color="000000"/>
              <w:end w:val="single" w:sz="24" w:space="0" w:color="000000"/>
            </w:tcBorders>
          </w:tcPr>
          <w:p>
            <w:pPr>
              <w:pStyle w:val="Normal"/>
              <w:snapToGrid w:val="false"/>
              <w:rPr/>
            </w:pPr>
            <w:r>
              <w:rPr/>
            </w:r>
          </w:p>
        </w:tc>
        <w:tc>
          <w:tcPr>
            <w:tcW w:w="360" w:type="dxa"/>
            <w:gridSpan w:val="2"/>
            <w:tcBorders>
              <w:top w:val="single" w:sz="4"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tcBorders>
          </w:tcPr>
          <w:p>
            <w:pPr>
              <w:pStyle w:val="Normal"/>
              <w:snapToGrid w:val="false"/>
              <w:rPr/>
            </w:pPr>
            <w:r>
              <w:rPr/>
            </w:r>
          </w:p>
        </w:tc>
        <w:tc>
          <w:tcPr>
            <w:tcW w:w="3870" w:type="dxa"/>
            <w:gridSpan w:val="5"/>
            <w:tcBorders>
              <w:top w:val="single" w:sz="6" w:space="0" w:color="000000"/>
              <w:start w:val="single" w:sz="2" w:space="0" w:color="000000"/>
              <w:bottom w:val="single" w:sz="2"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rPr/>
            </w:pPr>
            <w:r>
              <w:rPr/>
              <w:t>and to the emission rates</w: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rPr/>
            </w:pPr>
            <w:r>
              <w:rPr/>
              <w:t>of a new generating unit.</w:t>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b/>
              </w:rPr>
            </w:pPr>
            <w:r>
              <w:rPr>
                <w:b/>
              </w:rPr>
            </w:r>
          </w:p>
          <w:p>
            <w:pPr>
              <w:pStyle w:val="Normal"/>
              <w:rPr/>
            </w:pPr>
            <w:r>
              <w:rPr/>
            </w:r>
          </w:p>
          <w:p>
            <w:pPr>
              <w:pStyle w:val="Normal"/>
              <w:rPr>
                <w:sz w:val="32"/>
              </w:rPr>
            </w:pPr>
            <w:r>
              <w:rPr>
                <w:sz w:val="32"/>
              </w:rPr>
              <w:t>Labor</w:t>
            </w:r>
          </w:p>
          <w:p>
            <w:pPr>
              <w:pStyle w:val="Normal"/>
              <w:rPr>
                <w:sz w:val="32"/>
              </w:rPr>
            </w:pPr>
            <w:r>
              <w:rPr>
                <w:sz w:val="32"/>
              </w:rPr>
              <w:t>Information</w:t>
            </w:r>
          </w:p>
          <w:p>
            <w:pPr>
              <w:pStyle w:val="Normal"/>
              <w:rPr/>
            </w:pPr>
            <w:r>
              <w:rPr/>
            </w:r>
          </w:p>
          <w:p>
            <w:pPr>
              <w:pStyle w:val="Normal"/>
              <w:rPr/>
            </w:pPr>
            <w:r>
              <w:rPr/>
            </w:r>
          </w:p>
        </w:tc>
        <w:tc>
          <w:tcPr>
            <w:tcW w:w="7290" w:type="dxa"/>
            <w:gridSpan w:val="12"/>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 xml:space="preserve">System mix has been provided. Please refer to the New England ISO labor information posted at </w:t>
            </w:r>
            <w:r>
              <w:rPr>
                <w:u w:val="single"/>
              </w:rPr>
              <w:t>www.iso-ne.com</w:t>
            </w:r>
            <w:r>
              <w:rPr/>
              <w:t>.</w:t>
            </w:r>
          </w:p>
        </w:tc>
      </w:tr>
      <w:tr>
        <w:trPr/>
        <w:tc>
          <w:tcPr>
            <w:tcW w:w="9990" w:type="dxa"/>
            <w:gridSpan w:val="13"/>
            <w:tcBorders>
              <w:top w:val="single" w:sz="24"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10/1/00 to 3/31/01.</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Services, Inc.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Other Renewable Resources includes fuel cells utilizing renewable fuel sources, landfill gas, and ocean thermal.</w:t>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footnotePr>
        <w:numFmt w:val="decimal"/>
      </w:footnote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2001-06-06T11:04:00Z</dcterms:created>
  <dc:creator>iwaser</dc:creator>
  <dc:description/>
  <dc:language>en-CA</dc:language>
  <cp:lastModifiedBy>hmathis</cp:lastModifiedBy>
  <cp:lastPrinted>2001-03-23T08:38:00Z</cp:lastPrinted>
  <dcterms:modified xsi:type="dcterms:W3CDTF">2001-06-06T11:04:00Z</dcterms:modified>
  <cp:revision>2</cp:revision>
  <dc:subject/>
  <dc:title>Generation</dc:title>
</cp:coreProperties>
</file>