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MAINE</w:t>
      </w:r>
    </w:p>
    <w:p>
      <w:pPr>
        <w:pStyle w:val="Subtitle"/>
        <w:numPr>
          <w:ilvl w:val="0"/>
          <w:numId w:val="0"/>
        </w:numPr>
        <w:outlineLvl w:val="0"/>
        <w:rPr/>
      </w:pPr>
      <w:r>
        <w:rPr/>
        <w:t>ELECTRICITY FACTS</w:t>
      </w:r>
    </w:p>
    <w:p>
      <w:pPr>
        <w:pStyle w:val="Normal"/>
        <w:numPr>
          <w:ilvl w:val="0"/>
          <w:numId w:val="0"/>
        </w:numPr>
        <w:jc w:val="center"/>
        <w:outlineLvl w:val="0"/>
        <w:rPr>
          <w:b/>
          <w:smallCaps/>
        </w:rPr>
      </w:pPr>
      <w:r>
        <w:rPr>
          <w:b/>
          <w:smallCaps/>
        </w:rPr>
      </w:r>
    </w:p>
    <w:p>
      <w:pPr>
        <w:pStyle w:val="Normal"/>
        <w:numPr>
          <w:ilvl w:val="0"/>
          <w:numId w:val="0"/>
        </w:numPr>
        <w:jc w:val="center"/>
        <w:outlineLvl w:val="0"/>
        <w:rPr>
          <w:b/>
          <w:smallCaps/>
          <w:sz w:val="28"/>
        </w:rPr>
      </w:pPr>
      <w:r>
        <w:rPr>
          <w:b/>
          <w:smallCaps/>
          <w:sz w:val="28"/>
        </w:rPr>
        <w:t>Enron Energy Services, Inc.</w:t>
      </w:r>
    </w:p>
    <w:p>
      <w:pPr>
        <w:pStyle w:val="Normal"/>
        <w:widowControl w:val="false"/>
        <w:jc w:val="center"/>
        <w:rPr>
          <w:b/>
          <w:smallCaps/>
          <w:position w:val="6"/>
          <w:sz w:val="16"/>
        </w:rPr>
      </w:pPr>
      <w:r>
        <w:rPr>
          <w:b/>
          <w:smallCaps/>
          <w:position w:val="6"/>
          <w:sz w:val="16"/>
        </w:rPr>
      </w:r>
    </w:p>
    <w:p>
      <w:pPr>
        <w:pStyle w:val="Normal"/>
        <w:widowControl w:val="false"/>
        <w:jc w:val="center"/>
        <w:rPr>
          <w:b/>
          <w:smallCaps/>
          <w:position w:val="7"/>
          <w:sz w:val="18"/>
        </w:rPr>
      </w:pPr>
      <w:r>
        <w:rPr>
          <w:b/>
          <w:smallCaps/>
          <w:position w:val="7"/>
          <w:sz w:val="18"/>
        </w:rPr>
      </w:r>
    </w:p>
    <w:p>
      <w:pPr>
        <w:pStyle w:val="Normal"/>
        <w:rPr>
          <w:b/>
          <w:smallCaps/>
          <w:sz w:val="18"/>
        </w:rPr>
      </w:pPr>
      <w:r>
        <w:rPr>
          <w:b/>
          <w:smallCaps/>
          <w:sz w:val="18"/>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1260"/>
        <w:gridCol w:w="180"/>
        <w:gridCol w:w="1170"/>
        <w:gridCol w:w="900"/>
        <w:gridCol w:w="360"/>
        <w:gridCol w:w="90"/>
        <w:gridCol w:w="270"/>
        <w:gridCol w:w="108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12"/>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Average price per kWh at</w:t>
            </w:r>
          </w:p>
        </w:tc>
        <w:tc>
          <w:tcPr>
            <w:tcW w:w="1890" w:type="dxa"/>
            <w:gridSpan w:val="3"/>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different levels of use for </w:t>
            </w:r>
          </w:p>
        </w:tc>
        <w:tc>
          <w:tcPr>
            <w:tcW w:w="1890" w:type="dxa"/>
            <w:gridSpan w:val="3"/>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5.08 cents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EESI customers for the last </w:t>
            </w:r>
          </w:p>
        </w:tc>
        <w:tc>
          <w:tcPr>
            <w:tcW w:w="7290" w:type="dxa"/>
            <w:gridSpan w:val="12"/>
            <w:tcBorders>
              <w:top w:val="single" w:sz="6" w:space="0" w:color="000000"/>
              <w:start w:val="single" w:sz="6" w:space="0" w:color="000000"/>
              <w:end w:val="single" w:sz="24" w:space="0" w:color="000000"/>
            </w:tcBorders>
          </w:tcPr>
          <w:p>
            <w:pPr>
              <w:pStyle w:val="Normal"/>
              <w:tabs>
                <w:tab w:val="clear" w:pos="720"/>
                <w:tab w:val="decimal" w:pos="342" w:leader="none"/>
              </w:tabs>
              <w:jc w:val="both"/>
              <w:rPr>
                <w:sz w:val="16"/>
              </w:rPr>
            </w:pPr>
            <w:r>
              <w:rPr/>
              <w:t>Your average generation charge is based on your Agreement.  As the Rules require, the</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month of the prior quarter.</w:t>
            </w:r>
          </w:p>
        </w:tc>
        <w:tc>
          <w:tcPr>
            <w:tcW w:w="7290" w:type="dxa"/>
            <w:gridSpan w:val="12"/>
            <w:tcBorders>
              <w:start w:val="single" w:sz="6" w:space="0" w:color="000000"/>
              <w:end w:val="single" w:sz="24" w:space="0" w:color="000000"/>
            </w:tcBorders>
          </w:tcPr>
          <w:p>
            <w:pPr>
              <w:pStyle w:val="Normal"/>
              <w:tabs>
                <w:tab w:val="clear" w:pos="720"/>
                <w:tab w:val="decimal" w:pos="342" w:leader="none"/>
              </w:tabs>
              <w:jc w:val="both"/>
              <w:rPr>
                <w:sz w:val="16"/>
              </w:rPr>
            </w:pPr>
            <w:r>
              <w:rPr/>
              <w:t xml:space="preserve">information provided above is the average price per kWh for EESI customers for the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pPr>
            <w:r>
              <w:rPr/>
              <w:t xml:space="preserve">Prices do not include </w:t>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6"/>
              </w:rPr>
            </w:pPr>
            <w:r>
              <w:rPr/>
              <w:t xml:space="preserve">last month of the prior quarter.  See your most recent bill for your monthly use and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regulated charges for customer service and delivery.</w:t>
            </w:r>
          </w:p>
        </w:tc>
        <w:tc>
          <w:tcPr>
            <w:tcW w:w="7290" w:type="dxa"/>
            <w:gridSpan w:val="12"/>
            <w:tcBorders>
              <w:start w:val="single" w:sz="6" w:space="0" w:color="000000"/>
              <w:bottom w:val="single" w:sz="6" w:space="0" w:color="000000"/>
              <w:end w:val="single" w:sz="24" w:space="0" w:color="000000"/>
            </w:tcBorders>
          </w:tcPr>
          <w:p>
            <w:pPr>
              <w:pStyle w:val="Normal"/>
              <w:tabs>
                <w:tab w:val="clear" w:pos="720"/>
                <w:tab w:val="decimal" w:pos="342" w:leader="none"/>
              </w:tabs>
              <w:rPr/>
            </w:pPr>
            <w:r>
              <w:rPr/>
              <w:t>your Agreement for actual prices.</w:t>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4"/>
            <w:tcBorders>
              <w:top w:val="single" w:sz="24" w:space="0" w:color="000000"/>
              <w:start w:val="single" w:sz="6" w:space="0" w:color="000000"/>
              <w:bottom w:val="single" w:sz="24" w:space="0" w:color="000000"/>
              <w:end w:val="single" w:sz="6" w:space="0" w:color="000000"/>
            </w:tcBorders>
          </w:tcPr>
          <w:p>
            <w:pPr>
              <w:pStyle w:val="Normal"/>
              <w:spacing w:before="120" w:after="120"/>
              <w:rPr/>
            </w:pPr>
            <w:r>
              <w:rPr/>
              <w:t>Contract Duration: See your Agreement or Terms of Service.</w:t>
            </w:r>
          </w:p>
        </w:tc>
        <w:tc>
          <w:tcPr>
            <w:tcW w:w="5220" w:type="dxa"/>
            <w:gridSpan w:val="8"/>
            <w:tcBorders>
              <w:top w:val="single" w:sz="24" w:space="0" w:color="000000"/>
              <w:start w:val="single" w:sz="6" w:space="0" w:color="000000"/>
              <w:bottom w:val="single" w:sz="24" w:space="0" w:color="000000"/>
              <w:end w:val="single" w:sz="24" w:space="0" w:color="000000"/>
            </w:tcBorders>
          </w:tcPr>
          <w:p>
            <w:pPr>
              <w:pStyle w:val="Normal"/>
              <w:tabs>
                <w:tab w:val="clear" w:pos="720"/>
                <w:tab w:val="decimal" w:pos="342" w:leader="none"/>
              </w:tabs>
              <w:spacing w:before="120" w:after="120"/>
              <w:rPr/>
            </w:pPr>
            <w:r>
              <w:rPr/>
              <w:t>Contract Terms: See your Agreement or Terms of Service.</w:t>
            </w:r>
          </w:p>
        </w:tc>
      </w:tr>
      <w:tr>
        <w:trPr>
          <w:trHeight w:val="264"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2"/>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4"/>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Demand for this electricity</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FootnoteText"/>
              <w:tabs>
                <w:tab w:val="clear" w:pos="720"/>
                <w:tab w:val="decimal" w:pos="1062" w:leader="none"/>
              </w:tabs>
              <w:rPr/>
            </w:pPr>
            <w:r>
              <w:rPr/>
              <w:t>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FootnoteText"/>
              <w:tabs>
                <w:tab w:val="clear" w:pos="720"/>
                <w:tab w:val="decimal" w:pos="342" w:leader="none"/>
              </w:tabs>
              <w:rPr/>
            </w:pPr>
            <w:r>
              <w:rPr/>
              <w:t>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product in the preceding 12</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 xml:space="preserve">months was assigned </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generation from these</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12%</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rPr/>
            </w:pPr>
            <w:r>
              <w:rPr/>
              <w:t>sources.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16%</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Other Renewable</w:t>
            </w:r>
            <w:r>
              <w:rPr>
                <w:rStyle w:val="FootnoteCharacters"/>
                <w:rStyle w:val="FootnoteReference"/>
              </w:rPr>
              <w:footnoteReference w:id="2"/>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29%</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31%</w:t>
            </w:r>
          </w:p>
        </w:tc>
      </w:tr>
      <w:tr>
        <w:trPr/>
        <w:tc>
          <w:tcPr>
            <w:tcW w:w="2700" w:type="dxa"/>
            <w:tcBorders>
              <w:top w:val="single" w:sz="6" w:space="0" w:color="000000"/>
              <w:start w:val="single" w:sz="24"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vMerge w:val="restart"/>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end w:val="single" w:sz="6" w:space="0" w:color="000000"/>
            </w:tcBorders>
          </w:tcPr>
          <w:p>
            <w:pPr>
              <w:pStyle w:val="Normal"/>
              <w:rPr/>
            </w:pPr>
            <w:r>
              <w:rPr/>
              <w:t>Municipal</w:t>
            </w:r>
          </w:p>
        </w:tc>
        <w:tc>
          <w:tcPr>
            <w:tcW w:w="2070" w:type="dxa"/>
            <w:gridSpan w:val="2"/>
            <w:tcBorders>
              <w:top w:val="single" w:sz="6" w:space="0" w:color="000000"/>
              <w:start w:val="single" w:sz="6" w:space="0" w:color="000000"/>
              <w:end w:val="single" w:sz="6" w:space="0" w:color="000000"/>
            </w:tcBorders>
          </w:tcPr>
          <w:p>
            <w:pPr>
              <w:pStyle w:val="Normal"/>
              <w:jc w:val="center"/>
              <w:rPr/>
            </w:pPr>
            <w:r>
              <w:rPr/>
              <w:t>4%</w:t>
            </w:r>
          </w:p>
        </w:tc>
        <w:tc>
          <w:tcPr>
            <w:tcW w:w="1800" w:type="dxa"/>
            <w:gridSpan w:val="4"/>
            <w:tcBorders>
              <w:top w:val="single" w:sz="6" w:space="0" w:color="000000"/>
              <w:start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end w:val="single" w:sz="24" w:space="0" w:color="000000"/>
            </w:tcBorders>
          </w:tcPr>
          <w:p>
            <w:pPr>
              <w:pStyle w:val="Normal"/>
              <w:tabs>
                <w:tab w:val="clear" w:pos="720"/>
                <w:tab w:val="decimal" w:pos="342" w:leader="none"/>
              </w:tabs>
              <w:rPr/>
            </w:pPr>
            <w:r>
              <w:rPr/>
              <w:t>4%</w:t>
            </w:r>
          </w:p>
        </w:tc>
      </w:tr>
      <w:tr>
        <w:trPr/>
        <w:tc>
          <w:tcPr>
            <w:tcW w:w="2700" w:type="dxa"/>
            <w:vMerge w:val="continue"/>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end w:val="single" w:sz="6" w:space="0" w:color="000000"/>
            </w:tcBorders>
          </w:tcPr>
          <w:p>
            <w:pPr>
              <w:pStyle w:val="Normal"/>
              <w:rPr/>
            </w:pPr>
            <w:r>
              <w:rPr/>
              <w:t>Imported Power</w:t>
            </w:r>
          </w:p>
        </w:tc>
        <w:tc>
          <w:tcPr>
            <w:tcW w:w="2070" w:type="dxa"/>
            <w:gridSpan w:val="2"/>
            <w:tcBorders>
              <w:top w:val="single" w:sz="6" w:space="0" w:color="000000"/>
              <w:start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end w:val="single" w:sz="6" w:space="0" w:color="000000"/>
            </w:tcBorders>
          </w:tcPr>
          <w:p>
            <w:pPr>
              <w:pStyle w:val="Normal"/>
              <w:tabs>
                <w:tab w:val="clear" w:pos="720"/>
                <w:tab w:val="decimal" w:pos="1062" w:leader="none"/>
              </w:tabs>
              <w:rPr/>
            </w:pPr>
            <w:r>
              <w:rPr/>
              <w:t>11%</w:t>
            </w:r>
          </w:p>
        </w:tc>
        <w:tc>
          <w:tcPr>
            <w:tcW w:w="1350" w:type="dxa"/>
            <w:gridSpan w:val="2"/>
            <w:tcBorders>
              <w:top w:val="single" w:sz="6" w:space="0" w:color="000000"/>
              <w:start w:val="single" w:sz="6" w:space="0" w:color="000000"/>
              <w:end w:val="single" w:sz="24" w:space="0" w:color="000000"/>
            </w:tcBorders>
          </w:tcPr>
          <w:p>
            <w:pPr>
              <w:pStyle w:val="Normal"/>
              <w:tabs>
                <w:tab w:val="clear" w:pos="720"/>
                <w:tab w:val="decimal" w:pos="342" w:leader="none"/>
              </w:tabs>
              <w:rPr/>
            </w:pPr>
            <w:r>
              <w:rPr/>
              <w:t>11%</w:t>
            </w:r>
          </w:p>
        </w:tc>
      </w:tr>
      <w:tr>
        <w:trPr/>
        <w:tc>
          <w:tcPr>
            <w:tcW w:w="2700" w:type="dxa"/>
            <w:vMerge w:val="continue"/>
            <w:tcBorders>
              <w:top w:val="single" w:sz="6" w:space="0" w:color="000000"/>
              <w:start w:val="single" w:sz="24" w:space="0" w:color="000000"/>
              <w:end w:val="single" w:sz="6" w:space="0" w:color="000000"/>
            </w:tcBorders>
            <w:shd w:fill="000000" w:val="clear"/>
          </w:tcPr>
          <w:p>
            <w:pPr>
              <w:pStyle w:val="Normal"/>
              <w:snapToGrid w:val="false"/>
              <w:rPr/>
            </w:pPr>
            <w:r>
              <w:rPr/>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8"/>
              </w:rPr>
            </w:pPr>
            <w:r>
              <w:rPr>
                <w:sz w:val="18"/>
              </w:rPr>
              <w:t xml:space="preserve"> </w:t>
            </w:r>
            <w:r>
              <w:rPr>
                <w:sz w:val="18"/>
              </w:rPr>
              <w:t>Other Renewable Resources includes fuel cells utilizing renewable fuel sources, landfill gas, and ocean thermal.</w:t>
            </w:r>
          </w:p>
        </w:tc>
      </w:tr>
      <w:tr>
        <w:trPr>
          <w:trHeight w:val="327"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mc:AlternateContent>
                <mc:Choice Requires="wps">
                  <w:drawing>
                    <wp:anchor behindDoc="0" distT="0" distB="0" distL="114935" distR="114935" simplePos="0" locked="0" layoutInCell="0" allowOverlap="1" relativeHeight="3">
                      <wp:simplePos x="0" y="0"/>
                      <wp:positionH relativeFrom="margin">
                        <wp:posOffset>4284345</wp:posOffset>
                      </wp:positionH>
                      <wp:positionV relativeFrom="paragraph">
                        <wp:posOffset>219710</wp:posOffset>
                      </wp:positionV>
                      <wp:extent cx="0" cy="91440"/>
                      <wp:effectExtent l="19050" t="0" r="19050" b="0"/>
                      <wp:wrapNone/>
                      <wp:docPr id="1" name=""/>
                      <a:graphic xmlns:a="http://schemas.openxmlformats.org/drawingml/2006/main">
                        <a:graphicData uri="http://schemas.microsoft.com/office/word/2010/wordprocessingShape">
                          <wps:wsp>
                            <wps:cNvSpPr/>
                            <wps:spPr>
                              <a:xfrm>
                                <a:off x="0" y="0"/>
                                <a:ext cx="0" cy="9144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337.35pt,17.3pt" to="337.35pt,24.45pt" stroked="t" o:allowincell="f" style="position:absolute;mso-position-horizontal-relative:margin">
                      <v:stroke color="black" weight="38160" joinstyle="miter" endcap="flat"/>
                      <v:fill o:detectmouseclick="t" on="false"/>
                      <w10:wrap type="none"/>
                    </v:line>
                  </w:pict>
                </mc:Fallback>
              </mc:AlternateContent>
            </w:r>
            <w:r>
              <w:rPr>
                <w:sz w:val="32"/>
              </w:rPr>
              <w:t>Air Emissions</w:t>
            </w:r>
          </w:p>
        </w:tc>
        <w:tc>
          <w:tcPr>
            <w:tcW w:w="7290" w:type="dxa"/>
            <w:gridSpan w:val="12"/>
            <w:tcBorders>
              <w:top w:val="single" w:sz="24" w:space="0" w:color="000000"/>
              <w:start w:val="single" w:sz="6" w:space="0" w:color="000000"/>
              <w:end w:val="single" w:sz="24" w:space="0" w:color="000000"/>
            </w:tcBorders>
            <w:vAlign w:val="center"/>
          </w:tcPr>
          <w:p>
            <w:pPr>
              <w:pStyle w:val="Normal"/>
              <w:tabs>
                <w:tab w:val="clear" w:pos="720"/>
                <w:tab w:val="decimal" w:pos="342" w:leader="none"/>
              </w:tabs>
              <w:rPr/>
            </w:pPr>
            <w:r>
              <w:rPr/>
              <w:tab/>
              <w:tab/>
            </w:r>
            <w:r>
              <w:rPr>
                <w:b/>
              </w:rPr>
              <w:tab/>
              <w:tab/>
            </w:r>
            <w:r>
              <w:rPr>
                <w:b/>
                <w:u w:val="single"/>
              </w:rPr>
              <w:t>Regional Average</w:t>
            </w:r>
          </w:p>
        </w:tc>
      </w:tr>
      <w:tr>
        <w:trPr>
          <w:trHeight w:val="260" w:hRule="atLeast"/>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Carbon dioxide (CO</w:t>
            </w:r>
            <w:r>
              <w:rPr>
                <w:vertAlign w:val="subscript"/>
              </w:rPr>
              <w:t>2</w:t>
            </w:r>
            <w:r>
              <w:rPr/>
              <w:t>),</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top w:val="single" w:sz="4" w:space="0" w:color="000000"/>
              <w:start w:val="single" w:sz="6" w:space="0" w:color="000000"/>
              <w:bottom w:val="single" w:sz="6" w:space="0" w:color="000000"/>
              <w:end w:val="single" w:sz="24" w:space="0" w:color="000000"/>
            </w:tcBorders>
          </w:tcPr>
          <w:p>
            <w:pPr>
              <w:pStyle w:val="Normal"/>
              <w:rPr/>
            </w:pPr>
            <w:r>
              <w:rPr/>
              <w:tab/>
              <w:tab/>
              <w:tab/>
            </w:r>
          </w:p>
        </w:tc>
        <w:tc>
          <w:tcPr>
            <w:tcW w:w="360" w:type="dxa"/>
            <w:gridSpan w:val="2"/>
            <w:tcBorders>
              <w:top w:val="single" w:sz="4" w:space="0" w:color="000000"/>
              <w:start w:val="single" w:sz="6" w:space="0" w:color="000000"/>
              <w:bottom w:val="single" w:sz="6" w:space="0" w:color="000000"/>
            </w:tcBorders>
          </w:tcPr>
          <w:p>
            <w:pPr>
              <w:pStyle w:val="Normal"/>
              <w:snapToGrid w:val="false"/>
              <w:rPr/>
            </w:pPr>
            <w:r>
              <w:rPr/>
            </w:r>
          </w:p>
        </w:tc>
        <w:tc>
          <w:tcPr>
            <w:tcW w:w="2070" w:type="dxa"/>
            <w:gridSpan w:val="2"/>
            <w:tcBorders>
              <w:top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nitrogen oxide (NO</w:t>
            </w:r>
            <w:r>
              <w:rPr>
                <w:vertAlign w:val="subscript"/>
              </w:rPr>
              <w:t>x</w:t>
            </w:r>
            <w:r>
              <w:rPr/>
              <w:t>), and</w:t>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5"/>
            <w:tcBorders>
              <w:top w:val="single" w:sz="6" w:space="0" w:color="000000"/>
              <w:start w:val="single" w:sz="6" w:space="0" w:color="000000"/>
              <w:bottom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top w:val="single" w:sz="6" w:space="0" w:color="000000"/>
              <w:start w:val="single" w:sz="6" w:space="0" w:color="000000"/>
            </w:tcBorders>
            <w:shd w:fill="000000" w:val="clear"/>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t>sulfur dioxide (SO</w:t>
            </w:r>
            <w:r>
              <w:rPr>
                <w:vertAlign w:val="subscript"/>
              </w:rPr>
              <w:t>2</w:t>
            </w:r>
            <w:r>
              <w:rPr/>
              <w:t>) emission</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top w:val="single" w:sz="6" w:space="0" w:color="000000"/>
              <w:start w:val="single" w:sz="6" w:space="0" w:color="000000"/>
              <w:end w:val="single" w:sz="24" w:space="0" w:color="000000"/>
            </w:tcBorders>
          </w:tcPr>
          <w:p>
            <w:pPr>
              <w:pStyle w:val="Normal"/>
              <w:rPr/>
            </w:pPr>
            <w:r>
              <w:rPr/>
              <w:tab/>
              <w:tab/>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end w:val="single" w:sz="6" w:space="0" w:color="000000"/>
            </w:tcBorders>
            <w:shd w:fill="000000" w:val="clear"/>
          </w:tcPr>
          <w:p>
            <w:pPr>
              <w:pStyle w:val="Normal"/>
              <w:rPr/>
            </w:pPr>
            <w:r>
              <mc:AlternateContent>
                <mc:Choice Requires="wps">
                  <w:drawing>
                    <wp:anchor behindDoc="0" distT="0" distB="0" distL="114935" distR="114935" simplePos="0" locked="0" layoutInCell="0" allowOverlap="1" relativeHeight="5">
                      <wp:simplePos x="0" y="0"/>
                      <wp:positionH relativeFrom="margin">
                        <wp:posOffset>1828800</wp:posOffset>
                      </wp:positionH>
                      <wp:positionV relativeFrom="paragraph">
                        <wp:posOffset>12700</wp:posOffset>
                      </wp:positionV>
                      <wp:extent cx="1581785" cy="139065"/>
                      <wp:effectExtent l="5715" t="5715" r="4445" b="4445"/>
                      <wp:wrapNone/>
                      <wp:docPr id="2" name=""/>
                      <a:graphic xmlns:a="http://schemas.openxmlformats.org/drawingml/2006/main">
                        <a:graphicData uri="http://schemas.microsoft.com/office/word/2010/wordprocessingShape">
                          <wps:wsp>
                            <wps:cNvSpPr/>
                            <wps:spPr>
                              <a:xfrm>
                                <a:off x="0" y="0"/>
                                <a:ext cx="1581840" cy="13896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44pt;margin-top:1pt;width:124.5pt;height:10.9pt;mso-wrap-style:none;v-text-anchor:middle;mso-position-horizontal-relative:margin">
                      <v:fill o:detectmouseclick="t" type="solid" color2="white"/>
                      <v:stroke color="black" weight="9360" joinstyle="miter" endcap="flat"/>
                      <w10:wrap type="none"/>
                    </v:rect>
                  </w:pict>
                </mc:Fallback>
              </mc:AlternateContent>
            </w:r>
            <w:r>
              <w:rPr/>
              <w:t>rates from these sources, rela-</w:t>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3870" w:type="dxa"/>
            <w:gridSpan w:val="5"/>
            <w:tcBorders>
              <w:start w:val="single" w:sz="6" w:space="0" w:color="000000"/>
              <w:end w:val="single" w:sz="24" w:space="0" w:color="000000"/>
            </w:tcBorders>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w:rPr/>
              <w:t>tive to the regional average.</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start w:val="single" w:sz="6" w:space="0" w:color="000000"/>
              <w:end w:val="single" w:sz="24" w:space="0" w:color="000000"/>
            </w:tcBorders>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bottom w:val="single" w:sz="6" w:space="0" w:color="000000"/>
              <w:end w:val="single" w:sz="6" w:space="0" w:color="000000"/>
            </w:tcBorders>
            <w:shd w:fill="000000" w:val="clear"/>
          </w:tcPr>
          <w:p>
            <w:pPr>
              <w:pStyle w:val="Normal"/>
              <w:snapToGrid w:val="false"/>
              <w:rPr>
                <w:lang w:val="en-CA"/>
              </w:rPr>
            </w:pPr>
            <w:r>
              <w:rPr>
                <w:lang w:val="en-CA"/>
              </w:rPr>
              <mc:AlternateContent>
                <mc:Choice Requires="wps">
                  <w:drawing>
                    <wp:anchor behindDoc="0" distT="0" distB="0" distL="114935" distR="114935" simplePos="0" locked="0" layoutInCell="0" allowOverlap="1" relativeHeight="4">
                      <wp:simplePos x="0" y="0"/>
                      <wp:positionH relativeFrom="margin">
                        <wp:posOffset>1828800</wp:posOffset>
                      </wp:positionH>
                      <wp:positionV relativeFrom="paragraph">
                        <wp:posOffset>7620</wp:posOffset>
                      </wp:positionV>
                      <wp:extent cx="1965960" cy="134620"/>
                      <wp:effectExtent l="5080" t="5080" r="5080" b="5080"/>
                      <wp:wrapNone/>
                      <wp:docPr id="3" name=""/>
                      <a:graphic xmlns:a="http://schemas.openxmlformats.org/drawingml/2006/main">
                        <a:graphicData uri="http://schemas.microsoft.com/office/word/2010/wordprocessingShape">
                          <wps:wsp>
                            <wps:cNvSpPr/>
                            <wps:spPr>
                              <a:xfrm>
                                <a:off x="0" y="0"/>
                                <a:ext cx="1965960" cy="13464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44pt;margin-top:0.6pt;width:154.75pt;height:10.55pt;mso-wrap-style:none;v-text-anchor:middle;mso-position-horizontal-relative:margin">
                      <v:fill o:detectmouseclick="t" type="solid" color2="white"/>
                      <v:stroke color="black" weight="9360" joinstyle="miter" endcap="flat"/>
                      <w10:wrap type="none"/>
                    </v:rect>
                  </w:pict>
                </mc:Fallback>
              </mc:AlternateContent>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3870" w:type="dxa"/>
            <w:gridSpan w:val="5"/>
            <w:tcBorders>
              <w:start w:val="single" w:sz="6" w:space="0" w:color="000000"/>
              <w:bottom w:val="single" w:sz="4" w:space="0" w:color="000000"/>
              <w:end w:val="single" w:sz="24" w:space="0" w:color="000000"/>
            </w:tcBorders>
          </w:tcPr>
          <w:p>
            <w:pPr>
              <w:pStyle w:val="Normal"/>
              <w:snapToGrid w:val="false"/>
              <w:rPr>
                <w:vertAlign w:val="subscript"/>
              </w:rPr>
            </w:pPr>
            <w:r>
              <w:rPr>
                <w:vertAlign w:val="subscript"/>
              </w:rPr>
            </w:r>
          </w:p>
        </w:tc>
        <w:tc>
          <w:tcPr>
            <w:tcW w:w="360" w:type="dxa"/>
            <w:gridSpan w:val="2"/>
            <w:tcBorders>
              <w:start w:val="single" w:sz="6" w:space="0" w:color="000000"/>
              <w:bottom w:val="single" w:sz="4" w:space="0" w:color="000000"/>
            </w:tcBorders>
          </w:tcPr>
          <w:p>
            <w:pPr>
              <w:pStyle w:val="Normal"/>
              <w:snapToGrid w:val="false"/>
              <w:rPr/>
            </w:pPr>
            <w:r>
              <w:rPr/>
            </w:r>
          </w:p>
        </w:tc>
        <w:tc>
          <w:tcPr>
            <w:tcW w:w="2070" w:type="dxa"/>
            <w:gridSpan w:val="2"/>
            <w:tcBorders>
              <w:bottom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tcBorders>
              <w:top w:val="single" w:sz="6" w:space="0" w:color="000000"/>
              <w:start w:val="single" w:sz="24" w:space="0" w:color="000000"/>
              <w:bottom w:val="single" w:sz="24" w:space="0" w:color="FFFFFF"/>
              <w:end w:val="single" w:sz="6" w:space="0" w:color="000000"/>
            </w:tcBorders>
            <w:shd w:fill="000000" w:val="clear"/>
          </w:tcPr>
          <w:p>
            <w:pPr>
              <w:pStyle w:val="Normal"/>
              <w:snapToGrid w:val="false"/>
              <w:rPr/>
            </w:pPr>
            <w:r>
              <w:rPr/>
            </w:r>
          </w:p>
        </w:tc>
        <w:tc>
          <w:tcPr>
            <w:tcW w:w="7290" w:type="dxa"/>
            <w:gridSpan w:val="12"/>
            <w:tcBorders>
              <w:start w:val="single" w:sz="6" w:space="0" w:color="000000"/>
              <w:bottom w:val="single" w:sz="24"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c>
          <w:tcPr>
            <w:tcW w:w="9990" w:type="dxa"/>
            <w:gridSpan w:val="13"/>
            <w:tcBorders>
              <w:top w:val="single" w:sz="6" w:space="0" w:color="000000"/>
              <w:start w:val="single" w:sz="24" w:space="0" w:color="000000"/>
              <w:bottom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The power source and air emissions information is based on a 12-month period ending December 31, 2000.  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w:t>
            </w:r>
          </w:p>
          <w:p>
            <w:pPr>
              <w:pStyle w:val="Normal"/>
              <w:numPr>
                <w:ilvl w:val="0"/>
                <w:numId w:val="2"/>
              </w:numPr>
              <w:tabs>
                <w:tab w:val="clear" w:pos="720"/>
                <w:tab w:val="decimal" w:pos="342" w:leader="none"/>
              </w:tabs>
              <w:ind w:hanging="342" w:start="342" w:end="0"/>
              <w:jc w:val="both"/>
              <w:rPr/>
            </w:pPr>
            <w:r>
              <w:rPr/>
              <w:t>See reverse side and your contract terms and conditions for further information on this label.  You may also call Enron Energy Services, Inc. at 877 358-3006 or the Maine Public Utilities Commission at 1 800 452-4699.</w:t>
            </w:r>
          </w:p>
        </w:tc>
      </w:tr>
    </w:tbl>
    <w:p>
      <w:pPr>
        <w:pStyle w:val="Normal"/>
        <w:rPr/>
      </w:pPr>
      <w:r>
        <w:rPr/>
      </w:r>
    </w:p>
    <w:p>
      <w:pPr>
        <w:pStyle w:val="Normal"/>
        <w:rPr/>
      </w:pPr>
      <w:r>
        <w:rPr/>
      </w:r>
    </w:p>
    <w:p>
      <w:pPr>
        <w:pStyle w:val="Normal"/>
        <w:rPr>
          <w:b/>
        </w:rPr>
      </w:pPr>
      <w:r>
        <w:rPr>
          <w:b/>
        </w:rPr>
        <w:drawing>
          <wp:inline distT="0" distB="0" distL="0" distR="0">
            <wp:extent cx="776605" cy="73279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39" t="-39" r="-39" b="-39"/>
                    <a:stretch>
                      <a:fillRect/>
                    </a:stretch>
                  </pic:blipFill>
                  <pic:spPr bwMode="auto">
                    <a:xfrm>
                      <a:off x="0" y="0"/>
                      <a:ext cx="776605" cy="73279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actual electricity you use will be indistinguishable from the electricity used by your friends and neighbors. This is unavoidable because everyone is served through the same transmission and distribution system. The power sources label cannot tell you about the electricity that you use in your home; instead, it tells you that your dollars are going to pay for particular power plants. Since it is impossible to track the flow of electricity on the grid, however, there is no way to identify the actual power plant that produced the electricity you consume in your home. But it is possible to track the dollars you pay for electricity. Your electricity dollars will support electricity generation from various energy resources in the proportions listed on the power content label.</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A similar label containing your electricity supplier’s entire regional resource portfolio and emissions characteristics is available upon request. </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 xml:space="preserve">Emissions for each of the following pollutants are presented as a percent of the regional average emission rate.  </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certain fuels are burned. It is considered a greenhouse gas and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certain fuels are burned at high temperatures.  They are considered contributors to acid rain and ground-level ozone (or smog).</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Major health effects associated with SO</w:t>
      </w:r>
      <w:r>
        <w:rPr>
          <w:sz w:val="24"/>
          <w:vertAlign w:val="subscript"/>
        </w:rPr>
        <w:t>2</w:t>
      </w:r>
      <w:r>
        <w:rPr>
          <w:sz w:val="24"/>
        </w:rPr>
        <w:t xml:space="preserve"> include asthma, respiratory illness and aggravation of existing cardiovascular disease. </w:t>
      </w:r>
    </w:p>
    <w:p>
      <w:pPr>
        <w:pStyle w:val="Normal"/>
        <w:ind w:hanging="720" w:start="720" w:end="0"/>
        <w:jc w:val="both"/>
        <w:rPr>
          <w:sz w:val="24"/>
          <w:u w:val="single"/>
        </w:rPr>
      </w:pPr>
      <w:r>
        <w:rPr>
          <w:sz w:val="24"/>
          <w:u w:val="single"/>
        </w:rPr>
      </w:r>
    </w:p>
    <w:p>
      <w:pPr>
        <w:pStyle w:val="BodyTextIndent"/>
        <w:rPr/>
      </w:pPr>
      <w:r>
        <w:rPr/>
        <w:t>The production of electricity can produce other harmful emissions and have other environmental impacts. Environmental impacts differ among individual power plants.</w:t>
      </w:r>
    </w:p>
    <w:sectPr>
      <w:footerReference w:type="default" r:id="rId4"/>
      <w:footnotePr>
        <w:numFmt w:val="decimal"/>
      </w:footnotePr>
      <w:type w:val="nextPage"/>
      <w:pgSz w:w="12240" w:h="15840"/>
      <w:pgMar w:left="1440" w:right="1440" w:gutter="0" w:header="0" w:top="43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rPr>
      <w:t xml:space="preserve">ME / </w:t>
    </w:r>
    <w:r>
      <w:rPr>
        <w:b/>
        <w:smallCaps/>
      </w:rPr>
      <w:t>ENRON DIRECT USA</w:t>
    </w:r>
    <w:r>
      <w:rPr>
        <w:b/>
        <w:smallCaps/>
        <w:position w:val="6"/>
        <w:sz w:val="16"/>
      </w:rPr>
      <w:t>SM</w:t>
    </w:r>
    <w:r>
      <w:rPr>
        <w:b/>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before="120" w:after="0"/>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BodyTextIndent">
    <w:name w:val="Body Text Indent"/>
    <w:basedOn w:val="Normal"/>
    <w:pPr>
      <w:ind w:hanging="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2001-08-21T16:01:00Z</dcterms:created>
  <dc:creator>iwaser</dc:creator>
  <dc:description/>
  <cp:keywords>HN 48752.4 02618 00810 8/8/2001  3:41 PM</cp:keywords>
  <dc:language>en-CA</dc:language>
  <cp:lastModifiedBy>hmathis</cp:lastModifiedBy>
  <cp:lastPrinted>2001-04-03T10:28:00Z</cp:lastPrinted>
  <dcterms:modified xsi:type="dcterms:W3CDTF">2001-08-21T16:01:00Z</dcterms:modified>
  <cp:revision>2</cp:revision>
  <dc:subject/>
  <dc:title>Generation</dc:title>
</cp:coreProperties>
</file>