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numPr>
          <w:ilvl w:val="0"/>
          <w:numId w:val="1"/>
        </w:numPr>
        <w:rPr/>
      </w:pPr>
      <w:r>
        <w:rPr/>
        <w:t>Identify each market (ISO, PX, bilateral market trading points) where you actively trade.</w:t>
      </w:r>
    </w:p>
    <w:p>
      <w:pPr>
        <w:pStyle w:val="Normal"/>
        <w:rPr>
          <w:sz w:val="24"/>
        </w:rPr>
      </w:pPr>
      <w:r>
        <w:rPr>
          <w:sz w:val="24"/>
        </w:rPr>
      </w:r>
    </w:p>
    <w:p>
      <w:pPr>
        <w:pStyle w:val="Normal"/>
        <w:ind w:start="360" w:end="0"/>
        <w:rPr>
          <w:sz w:val="24"/>
        </w:rPr>
      </w:pPr>
      <w:r>
        <w:rPr>
          <w:sz w:val="24"/>
        </w:rPr>
        <w:t>Although EES is a Certified Schedule Coordinator (SC) with the California ISO and a PX Participation, EES does not actively utilize its SC certification or its PX Trade Application.  The SC and PX Trade Application activities associated with EES’s California retail load are executed by EPMI.  EES does participate in the bilateral wholesale markets, transactions executed through EPMI, to actively buy or sell electric power at the following wholesale points:  COB, Palo Verde, NP15, SP15.</w:t>
      </w:r>
    </w:p>
    <w:p>
      <w:pPr>
        <w:pStyle w:val="Normal"/>
        <w:ind w:start="360" w:end="0"/>
        <w:rPr>
          <w:sz w:val="24"/>
        </w:rPr>
      </w:pPr>
      <w:r>
        <w:rPr>
          <w:sz w:val="24"/>
        </w:rPr>
      </w:r>
    </w:p>
    <w:p>
      <w:pPr>
        <w:pStyle w:val="Normal"/>
        <w:numPr>
          <w:ilvl w:val="0"/>
          <w:numId w:val="1"/>
        </w:numPr>
        <w:rPr>
          <w:sz w:val="24"/>
        </w:rPr>
      </w:pPr>
      <w:r>
        <w:rPr>
          <w:sz w:val="24"/>
        </w:rPr>
        <w:t>Explain how your trading strategy has changed in the Western markets.</w:t>
      </w:r>
    </w:p>
    <w:p>
      <w:pPr>
        <w:pStyle w:val="Normal"/>
        <w:rPr>
          <w:sz w:val="24"/>
        </w:rPr>
      </w:pPr>
      <w:r>
        <w:rPr>
          <w:sz w:val="24"/>
        </w:rPr>
      </w:r>
    </w:p>
    <w:p>
      <w:pPr>
        <w:pStyle w:val="BodyTextIndent"/>
        <w:rPr/>
      </w:pPr>
      <w:r>
        <w:rPr/>
        <w:t xml:space="preserve">EES California retail transactions are typically 3-5 year discount off UDC tariff (fixed price) transactions.  Prior to Q2, 2000 EES had to some extent used a stack and roll hedging practice (buy power for first year in order to hedge short position in later years).  The increase in prompt year and 2001 prices has provided EES with the opportunity to purchase power in later years to more accurately hedge the long term short position associated with its retail portfolio of contracts.  Due to the expected addition of incremental generation in 2002, power for 2002 and beyond now trades at a discount to 2000 and 2001 price levels. </w:t>
      </w:r>
    </w:p>
    <w:p>
      <w:pPr>
        <w:pStyle w:val="Normal"/>
        <w:ind w:start="360" w:end="0"/>
        <w:rPr>
          <w:sz w:val="24"/>
        </w:rPr>
      </w:pPr>
      <w:r>
        <w:rPr>
          <w:sz w:val="24"/>
        </w:rPr>
      </w:r>
    </w:p>
    <w:p>
      <w:pPr>
        <w:pStyle w:val="BodyTextIndent2"/>
        <w:numPr>
          <w:ilvl w:val="0"/>
          <w:numId w:val="1"/>
        </w:numPr>
        <w:rPr/>
      </w:pPr>
      <w:r>
        <w:rPr/>
        <w:t>Identify the electricity products (firm power, ancillary service products, etc) your company marketed or traded in the Western interconnection during the year 2000.</w:t>
      </w:r>
    </w:p>
    <w:p>
      <w:pPr>
        <w:pStyle w:val="Normal"/>
        <w:rPr>
          <w:sz w:val="24"/>
        </w:rPr>
      </w:pPr>
      <w:r>
        <w:rPr>
          <w:sz w:val="24"/>
        </w:rPr>
      </w:r>
    </w:p>
    <w:p>
      <w:pPr>
        <w:pStyle w:val="Normal"/>
        <w:ind w:start="360" w:end="0"/>
        <w:rPr>
          <w:sz w:val="24"/>
        </w:rPr>
      </w:pPr>
      <w:r>
        <w:rPr>
          <w:sz w:val="24"/>
        </w:rPr>
        <w:t>EES typical retail product is a full requirements end user product which is inclusive of firm power and ancillary services delivered to the customer meter.  EES hedges these retail transaction through the purchase of firm power and ancillary services in the bilateral wholesale markets and on a day ahead or real time basis through the ISO, PX and APX markets.</w:t>
      </w:r>
    </w:p>
    <w:p>
      <w:pPr>
        <w:pStyle w:val="Normal"/>
        <w:ind w:start="360" w:end="0"/>
        <w:rPr>
          <w:sz w:val="24"/>
        </w:rPr>
      </w:pPr>
      <w:r>
        <w:rPr>
          <w:sz w:val="24"/>
        </w:rPr>
      </w:r>
    </w:p>
    <w:p>
      <w:pPr>
        <w:pStyle w:val="BodyTextIndent3"/>
        <w:numPr>
          <w:ilvl w:val="0"/>
          <w:numId w:val="1"/>
        </w:numPr>
        <w:tabs>
          <w:tab w:val="left" w:pos="180" w:leader="none"/>
          <w:tab w:val="left" w:pos="540" w:leader="none"/>
        </w:tabs>
        <w:ind w:hanging="360" w:start="540" w:end="0"/>
        <w:rPr/>
      </w:pPr>
      <w:r>
        <w:rPr/>
        <w:t>Provide cumulative transaction volumes (million of Mwh) of electricity (by calendar quarter) for 1999 and 2000.</w:t>
      </w:r>
    </w:p>
    <w:p>
      <w:pPr>
        <w:pStyle w:val="Normal"/>
        <w:tabs>
          <w:tab w:val="clear" w:pos="720"/>
          <w:tab w:val="left" w:pos="180" w:leader="none"/>
        </w:tabs>
        <w:rPr>
          <w:sz w:val="24"/>
        </w:rPr>
      </w:pPr>
      <w:r>
        <w:rPr>
          <w:sz w:val="24"/>
        </w:rPr>
      </w:r>
    </w:p>
    <w:p>
      <w:pPr>
        <w:pStyle w:val="Normal"/>
        <w:tabs>
          <w:tab w:val="clear" w:pos="720"/>
          <w:tab w:val="left" w:pos="180" w:leader="none"/>
        </w:tabs>
        <w:ind w:hanging="270" w:start="360" w:end="0"/>
        <w:rPr>
          <w:sz w:val="24"/>
        </w:rPr>
      </w:pPr>
      <w:r>
        <w:rPr>
          <w:sz w:val="24"/>
        </w:rPr>
        <w:tab/>
        <w:tab/>
        <w:t>EES transactions are included in EPMI transaction volumes.</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5"/>
      <w:numFmt w:val="decimal"/>
      <w:lvlText w:val="%1."/>
      <w:lvlJc w:val="start"/>
      <w:pPr>
        <w:tabs>
          <w:tab w:val="num" w:pos="360"/>
        </w:tabs>
        <w:ind w:start="360" w:hanging="36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7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360" w:end="0"/>
    </w:pPr>
    <w:rPr>
      <w:sz w:val="24"/>
    </w:rPr>
  </w:style>
  <w:style w:type="paragraph" w:styleId="BodyTextIndent2">
    <w:name w:val="Body Text Indent 2"/>
    <w:basedOn w:val="Normal"/>
    <w:qFormat/>
    <w:pPr>
      <w:ind w:hanging="360" w:start="360" w:end="0"/>
    </w:pPr>
    <w:rPr>
      <w:sz w:val="24"/>
    </w:rPr>
  </w:style>
  <w:style w:type="paragraph" w:styleId="BodyTextIndent3">
    <w:name w:val="Body Text Indent 3"/>
    <w:basedOn w:val="Normal"/>
    <w:qFormat/>
    <w:pPr>
      <w:tabs>
        <w:tab w:val="clear" w:pos="720"/>
        <w:tab w:val="left" w:pos="180" w:leader="none"/>
      </w:tabs>
      <w:ind w:hanging="270" w:start="360" w:end="0"/>
    </w:pPr>
    <w:rPr>
      <w:sz w:val="24"/>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2000-09-07T11:55:00Z</dcterms:created>
  <dc:creator>dbenevid</dc:creator>
  <dc:description/>
  <dc:language>en-CA</dc:language>
  <cp:lastModifiedBy>dbenevid</cp:lastModifiedBy>
  <dcterms:modified xsi:type="dcterms:W3CDTF">2000-09-07T13:22:00Z</dcterms:modified>
  <cp:revision>1</cp:revision>
  <dc:subject/>
  <dc:title>5</dc:title>
</cp:coreProperties>
</file>