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1260" w:leader="none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PROJECTED 2001 PORTFOLIO MIX FOR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ENRON EARTH SMART BIZMIX</w:t>
            </w:r>
            <w:r>
              <w:rPr>
                <w:position w:val="10"/>
                <w:sz w:val="12"/>
              </w:rPr>
              <w:t>SM</w:t>
            </w:r>
            <w:r>
              <w:rPr>
                <w:position w:val="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b w:val="false"/>
                <w:color w:val="FFFFFF"/>
                <w:sz w:val="20"/>
                <w:u w:val="single"/>
              </w:rPr>
            </w:pPr>
            <w:r>
              <w:rPr>
                <w:b w:val="false"/>
                <w:color w:val="FFFFFF"/>
                <w:sz w:val="20"/>
                <w:u w:val="single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cs="Arial" w:ascii="Arial" w:hAnsi="Arial"/>
              </w:rPr>
              <w:t>Enron Earth Smart BIZMIX</w:t>
            </w:r>
            <w:r>
              <w:rPr>
                <w:rFonts w:cs="Arial" w:ascii="Arial" w:hAnsi="Arial"/>
                <w:position w:val="6"/>
                <w:sz w:val="12"/>
              </w:rPr>
              <w:t>SM</w:t>
            </w:r>
            <w:r>
              <w:rPr>
                <w:rFonts w:cs="Arial" w:ascii="Arial" w:hAnsi="Arial"/>
                <w:position w:val="6"/>
              </w:rPr>
              <w:t xml:space="preserve"> </w:t>
            </w:r>
            <w:r>
              <w:rPr>
                <w:rFonts w:cs="Arial" w:ascii="Arial" w:hAnsi="Arial"/>
              </w:rPr>
              <w:t>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15%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balance of the Enron Earth Smart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product is comprised of the CA Power Mix.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6"/>
              </w:rPr>
              <w:t>100% of Enron Earth Smart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Power 100% Renewable Energy is specifically purchased from individual suppliers. 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 BIZMIX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2001-09-07T11:51:00Z</dcterms:created>
  <dc:creator>jhillego</dc:creator>
  <dc:description/>
  <dc:language>en-CA</dc:language>
  <cp:lastModifiedBy>hmathis</cp:lastModifiedBy>
  <cp:lastPrinted>2001-03-20T18:27:00Z</cp:lastPrinted>
  <dcterms:modified xsi:type="dcterms:W3CDTF">2001-09-07T11:51:00Z</dcterms:modified>
  <cp:revision>2</cp:revision>
  <dc:subject/>
  <dc:title>Power Content Label</dc:title>
</cp:coreProperties>
</file>