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rPr>
      </w:pPr>
      <w:r>
        <w:rPr>
          <w:b/>
          <w:bCs/>
        </w:rPr>
        <w:t>DRAFT</w:t>
      </w:r>
    </w:p>
    <w:p>
      <w:pPr>
        <w:pStyle w:val="Normal"/>
        <w:jc w:val="center"/>
        <w:rPr>
          <w:b/>
          <w:bCs/>
        </w:rPr>
      </w:pPr>
      <w:r>
        <w:rPr>
          <w:b/>
          <w:bCs/>
        </w:rPr>
      </w:r>
    </w:p>
    <w:p>
      <w:pPr>
        <w:pStyle w:val="Normal"/>
        <w:jc w:val="center"/>
        <w:rPr/>
      </w:pPr>
      <w:r>
        <w:rPr/>
        <w:t>Enron Power Marketing, Inc.</w:t>
      </w:r>
    </w:p>
    <w:p>
      <w:pPr>
        <w:pStyle w:val="Normal"/>
        <w:jc w:val="center"/>
        <w:rPr/>
      </w:pPr>
      <w:r>
        <w:rPr/>
        <w:t>1400 Smith Street</w:t>
      </w:r>
    </w:p>
    <w:p>
      <w:pPr>
        <w:pStyle w:val="Normal"/>
        <w:jc w:val="center"/>
        <w:rPr/>
      </w:pPr>
      <w:r>
        <w:rPr/>
        <w:t>Houston, Texas 77002-7361</w:t>
      </w:r>
    </w:p>
    <w:p>
      <w:pPr>
        <w:pStyle w:val="Normal"/>
        <w:jc w:val="center"/>
        <w:rPr/>
      </w:pPr>
      <w:r>
        <w:rPr/>
      </w:r>
    </w:p>
    <w:p>
      <w:pPr>
        <w:pStyle w:val="Normal"/>
        <w:jc w:val="center"/>
        <w:rPr/>
      </w:pPr>
      <w:r>
        <w:rPr/>
      </w:r>
    </w:p>
    <w:p>
      <w:pPr>
        <w:pStyle w:val="Normal"/>
        <w:jc w:val="center"/>
        <w:rPr/>
      </w:pPr>
      <w:r>
        <w:rPr/>
        <w:t>January 28, 2001</w:t>
      </w:r>
    </w:p>
    <w:p>
      <w:pPr>
        <w:pStyle w:val="Normal"/>
        <w:jc w:val="center"/>
        <w:rPr/>
      </w:pPr>
      <w:r>
        <w:rPr/>
      </w:r>
    </w:p>
    <w:p>
      <w:pPr>
        <w:pStyle w:val="Normal"/>
        <w:jc w:val="both"/>
        <w:rPr/>
      </w:pPr>
      <w:r>
        <w:rPr/>
        <w:t>Enron Energy Marketing Corp.</w:t>
      </w:r>
    </w:p>
    <w:p>
      <w:pPr>
        <w:pStyle w:val="Normal"/>
        <w:jc w:val="both"/>
        <w:rPr/>
      </w:pPr>
      <w:r>
        <w:rPr/>
        <w:t>1400 Smith Street</w:t>
      </w:r>
    </w:p>
    <w:p>
      <w:pPr>
        <w:pStyle w:val="Normal"/>
        <w:jc w:val="both"/>
        <w:rPr/>
      </w:pPr>
      <w:r>
        <w:rPr/>
        <w:t>Houston, Texas 77002-7361</w:t>
      </w:r>
    </w:p>
    <w:p>
      <w:pPr>
        <w:pStyle w:val="Normal"/>
        <w:jc w:val="both"/>
        <w:rPr/>
      </w:pPr>
      <w:r>
        <w:rPr/>
      </w:r>
    </w:p>
    <w:p>
      <w:pPr>
        <w:pStyle w:val="Normal"/>
        <w:ind w:hanging="720" w:start="1440" w:end="0"/>
        <w:jc w:val="both"/>
        <w:rPr/>
      </w:pPr>
      <w:r>
        <w:rPr/>
        <w:t>Re:</w:t>
        <w:tab/>
      </w:r>
      <w:r>
        <w:rPr>
          <w:u w:val="single"/>
        </w:rPr>
        <w:t>Letter agreement dated December 28, 2000 between Enron Power Marketing, Inc. ("EPMI") and Enron Energy Marketing Corp. ("EEMC") (the "Letter Agreement") regarding assignment and assumption of certain EEMC trading positions with PGET</w:t>
      </w:r>
    </w:p>
    <w:p>
      <w:pPr>
        <w:pStyle w:val="Normal"/>
        <w:ind w:hanging="720" w:start="1440" w:end="0"/>
        <w:jc w:val="both"/>
        <w:rPr>
          <w:u w:val="single"/>
        </w:rPr>
      </w:pPr>
      <w:r>
        <w:rPr>
          <w:u w:val="single"/>
        </w:rPr>
      </w:r>
    </w:p>
    <w:p>
      <w:pPr>
        <w:pStyle w:val="Normal"/>
        <w:ind w:start="1440" w:end="0"/>
        <w:jc w:val="both"/>
        <w:rPr>
          <w:u w:val="single"/>
        </w:rPr>
      </w:pPr>
      <w:r>
        <w:rPr>
          <w:u w:val="single"/>
        </w:rPr>
        <w:t>Assignment Agreements dated January 17, 2001 between EPMI and EEMC and Enron Energy Services, Inc. ("EES") and EEMC regarding assignment of certain receivables to EPMI (collectively, the "Receivables Assignments")</w:t>
      </w:r>
    </w:p>
    <w:p>
      <w:pPr>
        <w:pStyle w:val="Normal"/>
        <w:ind w:hanging="720" w:start="1440" w:end="0"/>
        <w:jc w:val="both"/>
        <w:rPr>
          <w:u w:val="single"/>
        </w:rPr>
      </w:pPr>
      <w:r>
        <w:rPr>
          <w:u w:val="single"/>
        </w:rPr>
      </w:r>
    </w:p>
    <w:p>
      <w:pPr>
        <w:pStyle w:val="Normal"/>
        <w:jc w:val="both"/>
        <w:rPr/>
      </w:pPr>
      <w:r>
        <w:rPr/>
        <w:t>Ladies and Gentlemen:</w:t>
      </w:r>
    </w:p>
    <w:p>
      <w:pPr>
        <w:pStyle w:val="Normal"/>
        <w:jc w:val="both"/>
        <w:rPr/>
      </w:pPr>
      <w:r>
        <w:rPr/>
      </w:r>
    </w:p>
    <w:p>
      <w:pPr>
        <w:pStyle w:val="Normal"/>
        <w:jc w:val="both"/>
        <w:rPr/>
      </w:pPr>
      <w:r>
        <w:rPr/>
        <w:tab/>
        <w:t>Pursuant to the Letter Agreement, EPMI and EEMC set out their respective roles, rights and obligations in connection with the Assigned Transactions referenced therein.  Among other things, the Letter Agreement recited (i) EPMI's assumption by EPMI of certain trading positions held by EEMC and PGET, (ii) that such transactions permitted the potential netting or offset of certain trading positions between EPMI and PGET and the substitution of a more creditworthy counterparty (Avista) for PGET in certain trading positions, (iii) that the economic benefits and detriments associated with or resulting from the Assigned Transactions would be for the account of EEMC, and that EEMC would be entitled to the economic benefits and shall bear the risks and economic detriments associated with such transactions, and (iv) that further agreements and arrangements, including certain correlative tax and accounting adjustments could be required in order to more fully effectuate the transactions described therein.</w:t>
      </w:r>
    </w:p>
    <w:p>
      <w:pPr>
        <w:pStyle w:val="Normal"/>
        <w:jc w:val="both"/>
        <w:rPr/>
      </w:pPr>
      <w:r>
        <w:rPr/>
        <w:tab/>
      </w:r>
    </w:p>
    <w:p>
      <w:pPr>
        <w:pStyle w:val="Normal"/>
        <w:jc w:val="both"/>
        <w:rPr/>
      </w:pPr>
      <w:r>
        <w:rPr/>
        <w:tab/>
        <w:t>Since the date of the Letter Agreement, EEMC and EPMI have continued to evaluate their respective positions in the California wholesale power markets and have determined that it is in each of their best interests that EPMI assume a greater degree of responsibility for certain transactions and positions in the California wholesale power markets, and in connection therewith, pursuant to the Receivables Assignments, EES and EEMC transferred and assigned all of their respective right, title and interest in and to the Regulatory Receivables (as such term is defined in the Receivables Assignments).</w:t>
      </w:r>
    </w:p>
    <w:p>
      <w:pPr>
        <w:pStyle w:val="Normal"/>
        <w:jc w:val="both"/>
        <w:rPr/>
      </w:pPr>
      <w:r>
        <w:rPr/>
      </w:r>
    </w:p>
    <w:p>
      <w:pPr>
        <w:pStyle w:val="Normal"/>
        <w:ind w:firstLine="720" w:end="0"/>
        <w:jc w:val="both"/>
        <w:rPr/>
      </w:pPr>
      <w:r>
        <w:rPr/>
        <w:t>The purpose of this letter is to amend and/or expand upon certain provisions of the Letter Agreement and the Receivables Assignments to more fully reflect our respective commercial interests in the Assigned Transactions and the Regulatory Receivables.  Unless otherwise defined herein, capitalized terms have the meaning set forth in the Letter Agreement.</w:t>
      </w:r>
    </w:p>
    <w:p>
      <w:pPr>
        <w:pStyle w:val="Normal"/>
        <w:jc w:val="both"/>
        <w:rPr/>
      </w:pPr>
      <w:r>
        <w:rPr/>
      </w:r>
    </w:p>
    <w:p>
      <w:pPr>
        <w:pStyle w:val="Normal"/>
        <w:jc w:val="both"/>
        <w:rPr/>
      </w:pPr>
      <w:r>
        <w:rPr/>
        <w:tab/>
        <w:t>Accordingly, the parties agree as follows:</w:t>
      </w:r>
    </w:p>
    <w:p>
      <w:pPr>
        <w:pStyle w:val="Normal"/>
        <w:jc w:val="both"/>
        <w:rPr/>
      </w:pPr>
      <w:r>
        <w:rPr/>
      </w:r>
    </w:p>
    <w:p>
      <w:pPr>
        <w:pStyle w:val="Heading1"/>
        <w:keepNext w:val="false"/>
        <w:widowControl w:val="false"/>
        <w:numPr>
          <w:ilvl w:val="0"/>
          <w:numId w:val="0"/>
        </w:numPr>
        <w:ind w:hanging="0" w:start="0"/>
        <w:jc w:val="both"/>
        <w:rPr/>
      </w:pPr>
      <w:r>
        <w:rPr/>
        <w:tab/>
        <w:t>1.</w:t>
        <w:tab/>
        <w:t>Effective January 1, 2001, EPMI shall be entitled to all of the economic benefits of, and shall be responsible for and bear all of the economic detriments of, the Assigned Transactions.  The parties agree that effective January 1, 2001, EEMC shall be deemed to have sold, transferred, assigned, set over and otherwise conveyed to EPMI, without recourse, all right, title and interest of EEMC in and to the Assigned Transactions, with such sale, transfer, assignment, set over and conveyance intended to be, and intended to be treated as, an absolute transfer of all of EEMC's right, title and interest (as in a true sale).</w:t>
      </w:r>
    </w:p>
    <w:p>
      <w:pPr>
        <w:pStyle w:val="Heading1"/>
        <w:keepNext w:val="false"/>
        <w:widowControl w:val="false"/>
        <w:numPr>
          <w:ilvl w:val="0"/>
          <w:numId w:val="0"/>
        </w:numPr>
        <w:ind w:hanging="0" w:start="0"/>
        <w:jc w:val="both"/>
        <w:rPr/>
      </w:pPr>
      <w:r>
        <w:rPr/>
        <w:tab/>
        <w:t>2.</w:t>
        <w:tab/>
        <w:t>[Provision for back-to-back transaction, including transfer pricing].</w:t>
      </w:r>
    </w:p>
    <w:p>
      <w:pPr>
        <w:pStyle w:val="Heading1"/>
        <w:keepNext w:val="false"/>
        <w:widowControl w:val="false"/>
        <w:numPr>
          <w:ilvl w:val="0"/>
          <w:numId w:val="0"/>
        </w:numPr>
        <w:ind w:hanging="0" w:start="0"/>
        <w:jc w:val="both"/>
        <w:rPr/>
      </w:pPr>
      <w:r>
        <w:rPr/>
        <w:tab/>
        <w:t>3.</w:t>
        <w:tab/>
        <w:t>[Acknowledgement of EPMI retainage of "upside" in Assigned Transactions].</w:t>
      </w:r>
    </w:p>
    <w:p>
      <w:pPr>
        <w:pStyle w:val="Heading1"/>
        <w:keepNext w:val="false"/>
        <w:widowControl w:val="false"/>
        <w:numPr>
          <w:ilvl w:val="0"/>
          <w:numId w:val="0"/>
        </w:numPr>
        <w:ind w:hanging="0" w:start="0"/>
        <w:jc w:val="both"/>
        <w:rPr/>
      </w:pPr>
      <w:r>
        <w:rPr/>
        <w:tab/>
        <w:t>4.</w:t>
        <w:tab/>
        <w:t>[Recitation of consideration or contingent consideration for Regulatory Receivables].</w:t>
      </w:r>
    </w:p>
    <w:p>
      <w:pPr>
        <w:pStyle w:val="Heading1"/>
        <w:keepNext w:val="false"/>
        <w:widowControl w:val="false"/>
        <w:numPr>
          <w:ilvl w:val="0"/>
          <w:numId w:val="0"/>
        </w:numPr>
        <w:ind w:hanging="0" w:start="0"/>
        <w:jc w:val="both"/>
        <w:rPr/>
      </w:pPr>
      <w:r>
        <w:rPr/>
        <w:tab/>
        <w:t>5.</w:t>
        <w:tab/>
        <w:t>[Acknowledgement of any "swap" transaction].</w:t>
      </w:r>
    </w:p>
    <w:p>
      <w:pPr>
        <w:pStyle w:val="Heading1"/>
        <w:keepNext w:val="false"/>
        <w:widowControl w:val="false"/>
        <w:numPr>
          <w:ilvl w:val="0"/>
          <w:numId w:val="0"/>
        </w:numPr>
        <w:ind w:firstLine="720" w:start="0" w:end="0"/>
        <w:jc w:val="both"/>
        <w:rPr/>
      </w:pPr>
      <w:r>
        <w:rPr/>
        <w:t>6.</w:t>
        <w:tab/>
        <w:t>The transactions contemplated by the Assignment Agreement, the Settlement Agreement, and the Receivables Assignment, as amended by the foregoing, are hereby ratified and confirmed.</w:t>
      </w:r>
    </w:p>
    <w:p>
      <w:pPr>
        <w:pStyle w:val="Normal"/>
        <w:jc w:val="both"/>
        <w:rPr/>
      </w:pPr>
      <w:r>
        <w:rPr/>
        <w:t xml:space="preserve"> </w:t>
      </w:r>
      <w:r>
        <w:rPr/>
        <w:tab/>
        <w:t>If the foregoing accurately reflects the agreements and understandings we have reached with respect to the Assigned Transactions and the PGET Purchase Transactions, please acknowledge your agreement below and return an executed copy of this letter to me.</w:t>
      </w:r>
    </w:p>
    <w:p>
      <w:pPr>
        <w:pStyle w:val="Normal"/>
        <w:rPr/>
      </w:pPr>
      <w:r>
        <w:rPr/>
      </w:r>
    </w:p>
    <w:p>
      <w:pPr>
        <w:pStyle w:val="Normal"/>
        <w:rPr/>
      </w:pPr>
      <w:r>
        <w:rPr/>
        <w:tab/>
        <w:tab/>
        <w:tab/>
        <w:tab/>
        <w:tab/>
        <w:tab/>
        <w:t>Very truly yours,</w:t>
      </w:r>
    </w:p>
    <w:p>
      <w:pPr>
        <w:pStyle w:val="Normal"/>
        <w:ind w:firstLine="720" w:end="0"/>
        <w:rPr/>
      </w:pPr>
      <w:r>
        <w:rPr/>
      </w:r>
    </w:p>
    <w:p>
      <w:pPr>
        <w:pStyle w:val="Normal"/>
        <w:ind w:start="4320" w:end="0"/>
        <w:rPr/>
      </w:pPr>
      <w:r>
        <w:rPr/>
        <w:t>ENRON POWER MARKETING, INC.</w:t>
      </w:r>
    </w:p>
    <w:p>
      <w:pPr>
        <w:pStyle w:val="Normal"/>
        <w:rPr/>
      </w:pPr>
      <w:r>
        <w:rPr/>
      </w:r>
    </w:p>
    <w:p>
      <w:pPr>
        <w:pStyle w:val="Normal"/>
        <w:rPr/>
      </w:pPr>
      <w:r>
        <w:rPr/>
      </w:r>
    </w:p>
    <w:p>
      <w:pPr>
        <w:pStyle w:val="Normal"/>
        <w:ind w:start="4320" w:end="0"/>
        <w:rPr/>
      </w:pPr>
      <w:r>
        <w:rPr/>
        <w:t>By:</w:t>
      </w:r>
      <w:r>
        <w:rPr>
          <w:u w:val="single"/>
        </w:rPr>
        <w:tab/>
        <w:tab/>
        <w:tab/>
        <w:tab/>
        <w:tab/>
        <w:tab/>
      </w:r>
      <w:r>
        <w:rPr/>
        <w:t xml:space="preserve">  </w:t>
      </w:r>
      <w:r>
        <w:rPr>
          <w:u w:val="single"/>
        </w:rPr>
        <w:t xml:space="preserve">                                            </w:t>
      </w:r>
    </w:p>
    <w:p>
      <w:pPr>
        <w:pStyle w:val="Normal"/>
        <w:rPr/>
      </w:pPr>
      <w:r>
        <w:rPr/>
        <w:tab/>
        <w:tab/>
        <w:tab/>
        <w:tab/>
        <w:tab/>
        <w:tab/>
        <w:t>Name:</w:t>
      </w:r>
      <w:r>
        <w:rPr>
          <w:u w:val="single"/>
        </w:rPr>
        <w:tab/>
        <w:tab/>
        <w:tab/>
        <w:tab/>
        <w:tab/>
        <w:tab/>
      </w:r>
    </w:p>
    <w:p>
      <w:pPr>
        <w:pStyle w:val="Normal"/>
        <w:ind w:start="4320" w:end="0"/>
        <w:rPr/>
      </w:pPr>
      <w:r>
        <w:rPr/>
        <w:t>Title:</w:t>
      </w:r>
      <w:r>
        <w:rPr>
          <w:u w:val="single"/>
        </w:rPr>
        <w:tab/>
        <w:tab/>
        <w:tab/>
        <w:tab/>
        <w:tab/>
        <w:tab/>
      </w:r>
      <w:r>
        <w:rPr/>
        <w:t xml:space="preserve">  </w:t>
      </w:r>
      <w:r>
        <w:rPr>
          <w:u w:val="single"/>
        </w:rPr>
        <w:t xml:space="preserve">                                         </w:t>
      </w:r>
    </w:p>
    <w:p>
      <w:pPr>
        <w:pStyle w:val="Normal"/>
        <w:rPr/>
      </w:pPr>
      <w:r>
        <w:rPr/>
      </w:r>
    </w:p>
    <w:p>
      <w:pPr>
        <w:pStyle w:val="Normal"/>
        <w:rPr/>
      </w:pPr>
      <w:r>
        <w:rPr/>
      </w:r>
    </w:p>
    <w:p>
      <w:pPr>
        <w:pStyle w:val="Normal"/>
        <w:rPr/>
      </w:pPr>
      <w:r>
        <w:rPr>
          <w:u w:val="single"/>
        </w:rPr>
        <w:t>ACKNOWLEDGED AND AGREED</w:t>
      </w:r>
      <w:r>
        <w:rPr/>
        <w:t>:</w:t>
      </w:r>
    </w:p>
    <w:p>
      <w:pPr>
        <w:pStyle w:val="Normal"/>
        <w:rPr/>
      </w:pPr>
      <w:r>
        <w:rPr/>
      </w:r>
    </w:p>
    <w:p>
      <w:pPr>
        <w:pStyle w:val="Normal"/>
        <w:rPr/>
      </w:pPr>
      <w:r>
        <w:rPr/>
        <w:t>ENRON ENERGY MARKETING CORP.</w:t>
      </w:r>
    </w:p>
    <w:p>
      <w:pPr>
        <w:pStyle w:val="Normal"/>
        <w:rPr/>
      </w:pPr>
      <w:r>
        <w:rPr/>
      </w:r>
    </w:p>
    <w:p>
      <w:pPr>
        <w:pStyle w:val="Normal"/>
        <w:rPr/>
      </w:pPr>
      <w:r>
        <w:rPr/>
        <w:t>By:</w:t>
      </w:r>
      <w:r>
        <w:rPr>
          <w:u w:val="single"/>
        </w:rPr>
        <w:tab/>
        <w:tab/>
        <w:tab/>
        <w:tab/>
        <w:tab/>
        <w:tab/>
      </w:r>
      <w:r>
        <w:rPr/>
        <w:t xml:space="preserve">  </w:t>
      </w:r>
      <w:r>
        <w:rPr>
          <w:u w:val="single"/>
        </w:rPr>
        <w:t xml:space="preserve">                                            </w:t>
      </w:r>
    </w:p>
    <w:p>
      <w:pPr>
        <w:pStyle w:val="Normal"/>
        <w:rPr/>
      </w:pPr>
      <w:r>
        <w:rPr/>
        <w:t>Name:</w:t>
      </w:r>
      <w:r>
        <w:rPr>
          <w:u w:val="single"/>
        </w:rPr>
        <w:tab/>
        <w:tab/>
        <w:tab/>
        <w:tab/>
        <w:tab/>
        <w:tab/>
      </w:r>
    </w:p>
    <w:p>
      <w:pPr>
        <w:pStyle w:val="Normal"/>
        <w:rPr/>
      </w:pPr>
      <w:r>
        <w:rPr/>
        <w:t>Title:</w:t>
      </w:r>
      <w:r>
        <w:rPr>
          <w:u w:val="single"/>
        </w:rPr>
        <w:tab/>
        <w:tab/>
        <w:tab/>
        <w:tab/>
        <w:tab/>
        <w:tab/>
      </w:r>
      <w:r>
        <w:rPr/>
        <w:t xml:space="preserve">  </w:t>
      </w:r>
      <w:r>
        <w:rPr>
          <w:u w:val="single"/>
        </w:rPr>
        <w:t xml:space="preserve">                                         </w:t>
      </w:r>
    </w:p>
    <w:p>
      <w:pPr>
        <w:pStyle w:val="Normal"/>
        <w:rPr/>
      </w:pPr>
      <w:r>
        <w:rPr/>
        <w:tab/>
        <w:tab/>
        <w:tab/>
        <w:tab/>
        <w:tab/>
        <w:tab/>
        <w:tab/>
        <w:tab/>
      </w:r>
    </w:p>
    <w:p>
      <w:pPr>
        <w:pStyle w:val="Normal"/>
        <w:rPr/>
      </w:pPr>
      <w:r>
        <w:rPr/>
      </w:r>
    </w:p>
    <w:p>
      <w:pPr>
        <w:pStyle w:val="Normal"/>
        <w:rPr/>
      </w:pPr>
      <w:r>
        <w:rPr/>
        <w:tab/>
        <w:tab/>
      </w:r>
    </w:p>
    <w:p>
      <w:pPr>
        <w:pStyle w:val="Normal"/>
        <w:jc w:val="both"/>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Section %1."/>
      <w:lvlJc w:val="start"/>
      <w:pPr>
        <w:tabs>
          <w:tab w:val="num" w:pos="1800"/>
        </w:tabs>
        <w:ind w:start="0" w:firstLine="720"/>
      </w:pPr>
      <w:rPr>
        <w:sz w:val="24"/>
        <w:i w:val="false"/>
        <w:u w:val="none"/>
        <w:b w:val="false"/>
        <w:rFonts w:ascii="Times New Roman" w:hAnsi="Times New Roman" w:cs="Times New Roman"/>
        <w:color w:val="auto"/>
      </w:rPr>
    </w:lvl>
    <w:lvl w:ilvl="1">
      <w:start w:val="1"/>
      <w:pStyle w:val="Heading2"/>
      <w:numFmt w:val="lowerLetter"/>
      <w:lvlText w:val="(%2)"/>
      <w:lvlJc w:val="start"/>
      <w:pPr>
        <w:tabs>
          <w:tab w:val="num" w:pos="1800"/>
        </w:tabs>
        <w:ind w:start="0" w:firstLine="1440"/>
      </w:pPr>
      <w:rPr>
        <w:sz w:val="24"/>
        <w:i w:val="false"/>
        <w:u w:val="none"/>
        <w:b w:val="false"/>
        <w:rFonts w:ascii="Times New Roman" w:hAnsi="Times New Roman" w:cs="Times New Roman"/>
        <w:color w:val="auto"/>
      </w:rPr>
    </w:lvl>
    <w:lvl w:ilvl="2">
      <w:start w:val="1"/>
      <w:pStyle w:val="Heading3"/>
      <w:numFmt w:val="lowerRoman"/>
      <w:lvlText w:val="(%3)"/>
      <w:lvlJc w:val="start"/>
      <w:pPr>
        <w:tabs>
          <w:tab w:val="num" w:pos="2880"/>
        </w:tabs>
        <w:ind w:start="720" w:firstLine="1440"/>
      </w:pPr>
      <w:rPr>
        <w:sz w:val="24"/>
        <w:i w:val="false"/>
        <w:u w:val="none"/>
        <w:b w:val="false"/>
        <w:rFonts w:ascii="Times New Roman" w:hAnsi="Times New Roman" w:cs="Times New Roman"/>
      </w:rPr>
    </w:lvl>
    <w:lvl w:ilvl="3">
      <w:start w:val="1"/>
      <w:numFmt w:val="decimal"/>
      <w:lvlText w:val="(%4)"/>
      <w:lvlJc w:val="start"/>
      <w:pPr>
        <w:tabs>
          <w:tab w:val="num" w:pos="3240"/>
        </w:tabs>
        <w:ind w:start="1440" w:firstLine="144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BodyText"/>
    <w:qFormat/>
    <w:pPr>
      <w:keepNext w:val="true"/>
      <w:numPr>
        <w:ilvl w:val="0"/>
        <w:numId w:val="1"/>
      </w:numPr>
      <w:spacing w:before="0" w:after="240"/>
      <w:outlineLvl w:val="0"/>
    </w:pPr>
    <w:rPr>
      <w:kern w:val="2"/>
      <w:szCs w:val="20"/>
    </w:rPr>
  </w:style>
  <w:style w:type="paragraph" w:styleId="Heading2">
    <w:name w:val="heading 2"/>
    <w:basedOn w:val="Normal"/>
    <w:next w:val="BodyText"/>
    <w:qFormat/>
    <w:pPr>
      <w:numPr>
        <w:ilvl w:val="1"/>
        <w:numId w:val="1"/>
      </w:numPr>
      <w:spacing w:before="0" w:after="240"/>
      <w:outlineLvl w:val="1"/>
    </w:pPr>
    <w:rPr>
      <w:szCs w:val="20"/>
    </w:rPr>
  </w:style>
  <w:style w:type="paragraph" w:styleId="Heading3">
    <w:name w:val="heading 3"/>
    <w:basedOn w:val="Normal"/>
    <w:next w:val="NormalIndent"/>
    <w:qFormat/>
    <w:pPr>
      <w:numPr>
        <w:ilvl w:val="2"/>
        <w:numId w:val="1"/>
      </w:numPr>
      <w:outlineLvl w:val="2"/>
    </w:pPr>
    <w:rPr>
      <w:rFonts w:ascii="Courier" w:hAnsi="Courier" w:cs="Courier"/>
      <w:b/>
      <w:szCs w:val="20"/>
    </w:rPr>
  </w:style>
  <w:style w:type="character" w:styleId="WW8Num1z0">
    <w:name w:val="WW8Num1z0"/>
    <w:qFormat/>
    <w:rPr>
      <w:rFonts w:ascii="Times New Roman" w:hAnsi="Times New Roman" w:cs="Times New Roman"/>
      <w:b w:val="false"/>
      <w:i w:val="false"/>
      <w:color w:val="auto"/>
      <w:sz w:val="24"/>
      <w:u w:val="none"/>
    </w:rPr>
  </w:style>
  <w:style w:type="character" w:styleId="WW8Num1z2">
    <w:name w:val="WW8Num1z2"/>
    <w:qFormat/>
    <w:rPr>
      <w:rFonts w:ascii="Times New Roman" w:hAnsi="Times New Roman" w:cs="Times New Roman"/>
      <w:b w:val="false"/>
      <w:i w:val="false"/>
      <w:sz w:val="24"/>
      <w:u w:val="non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autoSpaceDE w:val="false"/>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2001-01-28T15:52:00Z</dcterms:created>
  <dc:creator>Travis McCullough</dc:creator>
  <dc:description/>
  <dc:language>en-CA</dc:language>
  <cp:lastModifiedBy>Travis McCullough</cp:lastModifiedBy>
  <cp:lastPrinted>2001-01-28T15:00:00Z</cp:lastPrinted>
  <dcterms:modified xsi:type="dcterms:W3CDTF">2001-01-29T11:53:00Z</dcterms:modified>
  <cp:revision>6</cp:revision>
  <dc:subject/>
  <dc:title>DRAFT</dc:title>
</cp:coreProperties>
</file>