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s>
        <w:jc w:val="center"/>
        <w:rPr>
          <w:b/>
        </w:rPr>
      </w:pPr>
      <w:r>
        <w:rPr>
          <w:b/>
        </w:rPr>
        <w:t>Enron Energy Marketing Corp.</w:t>
      </w:r>
    </w:p>
    <w:p>
      <w:pPr>
        <w:pStyle w:val="Normal"/>
        <w:tabs>
          <w:tab w:val="clear" w:pos="720"/>
          <w:tab w:val="left" w:pos="990" w:leader="none"/>
        </w:tabs>
        <w:jc w:val="center"/>
        <w:rPr>
          <w:b/>
        </w:rPr>
      </w:pPr>
      <w:r>
        <w:rPr>
          <w:b/>
        </w:rPr>
        <w:t>1400 Smith Street</w:t>
      </w:r>
    </w:p>
    <w:p>
      <w:pPr>
        <w:pStyle w:val="Normal"/>
        <w:tabs>
          <w:tab w:val="clear" w:pos="720"/>
          <w:tab w:val="left" w:pos="990" w:leader="none"/>
        </w:tabs>
        <w:jc w:val="center"/>
        <w:rPr>
          <w:b/>
        </w:rPr>
      </w:pPr>
      <w:r>
        <w:rPr>
          <w:b/>
        </w:rPr>
        <w:t>Houston, Texas 77002</w:t>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rPr>
          <w:b/>
        </w:rPr>
      </w:pPr>
      <w:r>
        <w:rPr>
          <w:b/>
        </w:rPr>
      </w:r>
    </w:p>
    <w:p>
      <w:pPr>
        <w:pStyle w:val="Normal"/>
        <w:tabs>
          <w:tab w:val="clear" w:pos="720"/>
          <w:tab w:val="left" w:pos="990" w:leader="none"/>
        </w:tabs>
        <w:jc w:val="end"/>
        <w:rPr/>
      </w:pPr>
      <w:r>
        <w:rPr/>
        <w:t>December 28, 2000</w:t>
      </w:r>
    </w:p>
    <w:p>
      <w:pPr>
        <w:pStyle w:val="Normal"/>
        <w:tabs>
          <w:tab w:val="clear" w:pos="720"/>
          <w:tab w:val="left" w:pos="990" w:leader="none"/>
        </w:tabs>
        <w:rPr/>
      </w:pPr>
      <w:r>
        <w:rPr/>
      </w:r>
    </w:p>
    <w:p>
      <w:pPr>
        <w:pStyle w:val="Normal"/>
        <w:tabs>
          <w:tab w:val="clear" w:pos="720"/>
          <w:tab w:val="left" w:pos="990" w:leader="none"/>
        </w:tabs>
        <w:rPr/>
      </w:pPr>
      <w:r>
        <w:rPr/>
      </w:r>
    </w:p>
    <w:p>
      <w:pPr>
        <w:pStyle w:val="Normal"/>
        <w:tabs>
          <w:tab w:val="clear" w:pos="720"/>
          <w:tab w:val="left" w:pos="990" w:leader="none"/>
        </w:tabs>
        <w:rPr/>
      </w:pPr>
      <w:r>
        <w:rPr/>
        <w:t>PG&amp;E Energy Trading – Power, L.P.</w:t>
      </w:r>
    </w:p>
    <w:p>
      <w:pPr>
        <w:pStyle w:val="Normal"/>
        <w:tabs>
          <w:tab w:val="clear" w:pos="720"/>
          <w:tab w:val="left" w:pos="990" w:leader="none"/>
        </w:tabs>
        <w:rPr/>
      </w:pPr>
      <w:r>
        <w:rPr/>
        <w:t>7500 Old Georgetown Road</w:t>
      </w:r>
    </w:p>
    <w:p>
      <w:pPr>
        <w:pStyle w:val="Normal"/>
        <w:tabs>
          <w:tab w:val="clear" w:pos="720"/>
          <w:tab w:val="left" w:pos="990" w:leader="none"/>
        </w:tabs>
        <w:rPr/>
      </w:pPr>
      <w:r>
        <w:rPr/>
        <w:t>Bethesda, MD 20814</w:t>
      </w:r>
    </w:p>
    <w:p>
      <w:pPr>
        <w:pStyle w:val="Normal"/>
        <w:tabs>
          <w:tab w:val="clear" w:pos="720"/>
          <w:tab w:val="left" w:pos="990" w:leader="none"/>
        </w:tabs>
        <w:rPr/>
      </w:pPr>
      <w:r>
        <w:rPr/>
        <w:t>Attn: [Senior Vice President]</w:t>
      </w:r>
    </w:p>
    <w:p>
      <w:pPr>
        <w:pStyle w:val="Normal"/>
        <w:tabs>
          <w:tab w:val="clear" w:pos="720"/>
          <w:tab w:val="left" w:pos="990" w:leader="none"/>
        </w:tabs>
        <w:rPr/>
      </w:pPr>
      <w:r>
        <w:rPr/>
      </w:r>
    </w:p>
    <w:p>
      <w:pPr>
        <w:pStyle w:val="Normal"/>
        <w:tabs>
          <w:tab w:val="clear" w:pos="720"/>
          <w:tab w:val="left" w:pos="990" w:leader="none"/>
        </w:tabs>
        <w:rPr/>
      </w:pPr>
      <w:r>
        <w:rPr/>
        <w:t>To Whom It May Concern:</w:t>
      </w:r>
    </w:p>
    <w:p>
      <w:pPr>
        <w:pStyle w:val="Normal"/>
        <w:tabs>
          <w:tab w:val="clear" w:pos="720"/>
          <w:tab w:val="left" w:pos="990" w:leader="none"/>
        </w:tabs>
        <w:rPr/>
      </w:pPr>
      <w:r>
        <w:rPr/>
      </w:r>
    </w:p>
    <w:p>
      <w:pPr>
        <w:pStyle w:val="Normal"/>
        <w:tabs>
          <w:tab w:val="clear" w:pos="720"/>
          <w:tab w:val="left" w:pos="990" w:leader="none"/>
        </w:tabs>
        <w:spacing w:before="0" w:after="240"/>
        <w:ind w:firstLine="720" w:end="0"/>
        <w:rPr/>
      </w:pPr>
      <w:r>
        <w:rPr/>
        <w:t xml:space="preserve">As you are aware, Enron Energy Marketing Corp. ("EEMC"), formerly known as PG&amp;E Energy Services Corporation, and PG&amp;E Energy Trading – Power, L.P. ("PGET") are parties to that certain Master Agreement, dated as of September 1, 1998, pursuant to which EEMC and PGET have entered into various transactions for the sale and delivery of power.  </w:t>
      </w:r>
    </w:p>
    <w:p>
      <w:pPr>
        <w:pStyle w:val="Normal"/>
        <w:tabs>
          <w:tab w:val="clear" w:pos="720"/>
          <w:tab w:val="left" w:pos="990" w:leader="none"/>
        </w:tabs>
        <w:spacing w:before="0" w:after="240"/>
        <w:ind w:firstLine="720" w:end="0"/>
        <w:rPr/>
      </w:pPr>
      <w:r>
        <w:rPr/>
        <w:t xml:space="preserve">It has come to our attention that certain of the Transaction Letters confirming the transactions agreed to between EEMC and PGET incorrectly list the name of the buyer as "PG&amp;E Energy Services, Inc." instead of "PG&amp;E Energy Services Corporation."  A list of such Transaction Letters is attached hereto as </w:t>
      </w:r>
      <w:r>
        <w:rPr>
          <w:u w:val="single"/>
        </w:rPr>
        <w:t>Exhibit A</w:t>
      </w:r>
      <w:r>
        <w:rPr/>
        <w:t>.  By executing this letter, we ask that you acknowledge this error and agree that, effective for all purposes with respect to each such Transaction Letter, Enron Energy Marketing Corp. (formerly known as PG&amp;E Energy Services Corporation) shall be considered to be the "Buyer" listed on each such Transaction Letter.</w:t>
      </w:r>
    </w:p>
    <w:p>
      <w:pPr>
        <w:pStyle w:val="Normal"/>
        <w:tabs>
          <w:tab w:val="clear" w:pos="720"/>
          <w:tab w:val="left" w:pos="990" w:leader="none"/>
        </w:tabs>
        <w:spacing w:before="0" w:after="240"/>
        <w:ind w:firstLine="720" w:end="0"/>
        <w:rPr/>
      </w:pPr>
      <w:r>
        <w:rPr/>
        <w:t>In all other respects, EEMC and PGET specifically agree and acknowledge that such Transaction Letters, as corrected by this agreement, shall be and remain in full force and effect.</w:t>
      </w:r>
    </w:p>
    <w:p>
      <w:pPr>
        <w:pStyle w:val="Normal"/>
        <w:tabs>
          <w:tab w:val="clear" w:pos="720"/>
          <w:tab w:val="left" w:pos="990" w:leader="none"/>
        </w:tabs>
        <w:rPr/>
      </w:pPr>
      <w:r>
        <w:rPr/>
      </w:r>
    </w:p>
    <w:p>
      <w:pPr>
        <w:pStyle w:val="Normal"/>
        <w:tabs>
          <w:tab w:val="clear" w:pos="720"/>
          <w:tab w:val="left" w:pos="990" w:leader="none"/>
        </w:tabs>
        <w:rPr/>
      </w:pPr>
      <w:r>
        <w:rPr/>
      </w:r>
    </w:p>
    <w:p>
      <w:pPr>
        <w:pStyle w:val="Normal"/>
        <w:spacing w:before="0" w:after="240"/>
        <w:ind w:start="5040" w:end="0"/>
        <w:rPr/>
      </w:pPr>
      <w:r>
        <w:rPr/>
        <w:t>Sincerely,</w:t>
      </w:r>
    </w:p>
    <w:p>
      <w:pPr>
        <w:pStyle w:val="Normal"/>
        <w:spacing w:before="0" w:after="240"/>
        <w:ind w:start="5040" w:end="0"/>
        <w:rPr/>
      </w:pPr>
      <w:r>
        <w:rPr/>
        <w:t>ENRON ENERGY MARKETING CORP.</w:t>
      </w:r>
    </w:p>
    <w:p>
      <w:pPr>
        <w:pStyle w:val="Normal"/>
        <w:spacing w:before="0" w:after="240"/>
        <w:ind w:start="5040" w:end="0"/>
        <w:rPr/>
      </w:pPr>
      <w:r>
        <w:rPr/>
      </w:r>
    </w:p>
    <w:p>
      <w:pPr>
        <w:pStyle w:val="Normal"/>
        <w:ind w:start="5040" w:end="0"/>
        <w:rPr/>
      </w:pPr>
      <w:r>
        <w:rPr/>
        <w:t>___________________________________</w:t>
      </w:r>
    </w:p>
    <w:p>
      <w:pPr>
        <w:pStyle w:val="Normal"/>
        <w:ind w:start="5040" w:end="0"/>
        <w:rPr/>
      </w:pPr>
      <w:r>
        <w:rPr/>
        <w:t xml:space="preserve">By:  </w:t>
      </w:r>
    </w:p>
    <w:p>
      <w:pPr>
        <w:pStyle w:val="Normal"/>
        <w:spacing w:before="0" w:after="240"/>
        <w:ind w:start="5040" w:end="0"/>
        <w:rPr/>
      </w:pPr>
      <w:r>
        <w:rPr/>
      </w:r>
    </w:p>
    <w:p>
      <w:pPr>
        <w:pStyle w:val="Normal"/>
        <w:spacing w:before="0" w:after="240"/>
        <w:ind w:start="5040" w:end="0"/>
        <w:rPr/>
      </w:pPr>
      <w:r>
        <w:rPr/>
      </w:r>
    </w:p>
    <w:p>
      <w:pPr>
        <w:pStyle w:val="Normal"/>
        <w:spacing w:before="0" w:after="240"/>
        <w:ind w:start="5040" w:end="0"/>
        <w:rPr/>
      </w:pPr>
      <w:r>
        <w:rPr/>
      </w:r>
    </w:p>
    <w:p>
      <w:pPr>
        <w:pStyle w:val="Normal"/>
        <w:spacing w:before="0" w:after="240"/>
        <w:rPr>
          <w:b/>
        </w:rPr>
      </w:pPr>
      <w:r>
        <w:rPr>
          <w:b/>
        </w:rPr>
        <w:t>Acknowledged and Agreed:</w:t>
      </w:r>
    </w:p>
    <w:p>
      <w:pPr>
        <w:pStyle w:val="Normal"/>
        <w:spacing w:before="0" w:after="240"/>
        <w:rPr/>
      </w:pPr>
      <w:r>
        <w:rPr/>
        <w:t>PG&amp;E ENERGY TRADING - POWER, L.P.</w:t>
      </w:r>
    </w:p>
    <w:p>
      <w:pPr>
        <w:pStyle w:val="Normal"/>
        <w:spacing w:before="0" w:after="240"/>
        <w:rPr/>
      </w:pPr>
      <w:r>
        <w:rPr/>
      </w:r>
    </w:p>
    <w:p>
      <w:pPr>
        <w:pStyle w:val="Normal"/>
        <w:rPr/>
      </w:pPr>
      <w:r>
        <w:rPr/>
        <w:t xml:space="preserve">By PG&amp;E Energy Trading – Power Holdings Corporation, </w:t>
      </w:r>
    </w:p>
    <w:p>
      <w:pPr>
        <w:pStyle w:val="Normal"/>
        <w:spacing w:before="0" w:after="240"/>
        <w:rPr/>
      </w:pPr>
      <w:r>
        <w:rPr/>
        <w:t>its sole general partner</w:t>
      </w:r>
    </w:p>
    <w:p>
      <w:pPr>
        <w:pStyle w:val="Normal"/>
        <w:spacing w:before="0" w:after="240"/>
        <w:rPr/>
      </w:pPr>
      <w:r>
        <w:rPr/>
      </w:r>
    </w:p>
    <w:p>
      <w:pPr>
        <w:pStyle w:val="Normal"/>
        <w:rPr/>
      </w:pPr>
      <w:r>
        <w:rPr/>
        <w:t>___________________________________</w:t>
      </w:r>
    </w:p>
    <w:p>
      <w:pPr>
        <w:pStyle w:val="Normal"/>
        <w:spacing w:before="0" w:after="240"/>
        <w:rPr/>
      </w:pPr>
      <w:r>
        <w:rPr/>
        <w:t xml:space="preserve">By:  </w:t>
      </w:r>
    </w:p>
    <w:p>
      <w:pPr>
        <w:pStyle w:val="Normal"/>
        <w:spacing w:before="0" w:after="240"/>
        <w:rPr/>
      </w:pPr>
      <w:r>
        <w:rPr/>
      </w:r>
      <w:r>
        <w:br w:type="page"/>
      </w:r>
    </w:p>
    <w:p>
      <w:pPr>
        <w:pStyle w:val="Normal"/>
        <w:spacing w:before="0" w:after="240"/>
        <w:jc w:val="center"/>
        <w:rPr>
          <w:u w:val="single"/>
        </w:rPr>
      </w:pPr>
      <w:r>
        <w:rPr>
          <w:u w:val="single"/>
        </w:rPr>
        <w:t>Exhibit A</w:t>
      </w:r>
    </w:p>
    <w:p>
      <w:pPr>
        <w:pStyle w:val="Normal"/>
        <w:spacing w:before="0" w:after="240"/>
        <w:rPr/>
      </w:pPr>
      <w:r>
        <w:rPr/>
        <w:t>To Come – Add list of all transactions between EEMC and PGET</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NYC 363250.1 24571 00313 12/28/00 1:21:27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990" w:leader="none"/>
      </w:tabs>
      <w:rPr/>
    </w:pPr>
    <w:r>
      <w:rPr/>
      <w:t>PG&amp;E Energy Trading – Power, L.P.</w:t>
    </w:r>
  </w:p>
  <w:p>
    <w:pPr>
      <w:pStyle w:val="Header"/>
      <w:rPr/>
    </w:pPr>
    <w:r>
      <w:rPr/>
      <w:t>December 28, 2000</w:t>
    </w:r>
  </w:p>
  <w:p>
    <w:pPr>
      <w:pStyle w:val="Header"/>
      <w:rPr/>
    </w:pPr>
    <w:r>
      <w:rPr/>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2000-12-28T15:25:00Z</dcterms:created>
  <dc:creator>Michael Didriksen</dc:creator>
  <dc:description/>
  <cp:keywords>NYC 363250.1 24571 00313 12/28/00 1:21:27 PM</cp:keywords>
  <dc:language>en-CA</dc:language>
  <cp:lastModifiedBy>esager</cp:lastModifiedBy>
  <cp:lastPrinted>2000-12-28T13:21:00Z</cp:lastPrinted>
  <dcterms:modified xsi:type="dcterms:W3CDTF">2000-12-28T17:41:00Z</dcterms:modified>
  <cp:revision>15</cp:revision>
  <dc:subject/>
  <dc:title>Heading 1</dc:title>
</cp:coreProperties>
</file>