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t>15 November 2001</w:t>
      </w:r>
    </w:p>
    <w:p>
      <w:pPr>
        <w:pStyle w:val="Normal"/>
        <w:rPr>
          <w:sz w:val="26"/>
        </w:rPr>
      </w:pPr>
      <w:r>
        <w:rPr>
          <w:sz w:val="26"/>
        </w:rPr>
      </w:r>
    </w:p>
    <w:p>
      <w:pPr>
        <w:pStyle w:val="Normal"/>
        <w:rPr>
          <w:sz w:val="26"/>
        </w:rPr>
      </w:pPr>
      <w:r>
        <w:rPr>
          <w:sz w:val="26"/>
        </w:rPr>
        <w:t>FINAL TEXT for MEMO to all employees in Europe</w:t>
      </w:r>
    </w:p>
    <w:p>
      <w:pPr>
        <w:pStyle w:val="Normal"/>
        <w:rPr>
          <w:sz w:val="26"/>
        </w:rPr>
      </w:pPr>
      <w:r>
        <w:rPr>
          <w:sz w:val="26"/>
        </w:rPr>
      </w:r>
    </w:p>
    <w:p>
      <w:pPr>
        <w:pStyle w:val="Normal"/>
        <w:rPr>
          <w:sz w:val="26"/>
        </w:rPr>
      </w:pPr>
      <w:r>
        <w:rPr>
          <w:sz w:val="26"/>
        </w:rPr>
        <w:t>[From Enron Europe Office of the Chairman]</w:t>
      </w:r>
    </w:p>
    <w:p>
      <w:pPr>
        <w:pStyle w:val="Normal"/>
        <w:rPr>
          <w:sz w:val="26"/>
        </w:rPr>
      </w:pPr>
      <w:r>
        <w:rPr>
          <w:sz w:val="26"/>
        </w:rPr>
      </w:r>
    </w:p>
    <w:p>
      <w:pPr>
        <w:pStyle w:val="Normal"/>
        <w:rPr>
          <w:sz w:val="26"/>
        </w:rPr>
      </w:pPr>
      <w:r>
        <w:rPr>
          <w:sz w:val="26"/>
        </w:rPr>
      </w:r>
    </w:p>
    <w:p>
      <w:pPr>
        <w:pStyle w:val="Normal"/>
        <w:rPr>
          <w:sz w:val="26"/>
        </w:rPr>
      </w:pPr>
      <w:r>
        <w:rPr>
          <w:sz w:val="26"/>
        </w:rPr>
        <w:t>Initial reactions to our merger with Dynegy have been very positive and we are already seeing increased confidence in our business.  Since the announcement was made, Enron’s stock has risen 16%  and Dynegy’s is up 19% .  Based on yesterday’s close of play prices, Enron and Dynegy had a combined market cap of $22.5bn.</w:t>
      </w:r>
    </w:p>
    <w:p>
      <w:pPr>
        <w:pStyle w:val="Normal"/>
        <w:rPr>
          <w:sz w:val="26"/>
        </w:rPr>
      </w:pPr>
      <w:r>
        <w:rPr>
          <w:sz w:val="26"/>
        </w:rPr>
      </w:r>
    </w:p>
    <w:p>
      <w:pPr>
        <w:pStyle w:val="Normal"/>
        <w:rPr>
          <w:sz w:val="26"/>
        </w:rPr>
      </w:pPr>
      <w:r>
        <w:rPr>
          <w:sz w:val="26"/>
        </w:rPr>
        <w:t>Dynegy has stressed that Enron’s core energy business in North America and Europe is very sound and that in Europe, Enron’s energy operations are three to four years ahead of Dynegy’s European operations.  In a Dow Jones quote the company said:  “Europe is the next growth engine with $400 billion in electricity and natural gas sales.  It’s a huge market.  There’s no reason that Dynegy and Enron together can’t obtain 10% of this across Europe.”</w:t>
      </w:r>
    </w:p>
    <w:p>
      <w:pPr>
        <w:pStyle w:val="Normal"/>
        <w:rPr>
          <w:sz w:val="26"/>
        </w:rPr>
      </w:pPr>
      <w:r>
        <w:rPr>
          <w:sz w:val="26"/>
        </w:rPr>
      </w:r>
    </w:p>
    <w:p>
      <w:pPr>
        <w:pStyle w:val="Normal"/>
        <w:rPr>
          <w:sz w:val="26"/>
        </w:rPr>
      </w:pPr>
      <w:r>
        <w:rPr>
          <w:sz w:val="26"/>
        </w:rPr>
        <w:t>On a conference call yesterday Greg Whalley provided a business update for analysts which sets out the focus of our business going forward and we wanted to follow up with you on how this will impact Europe.   The business was divided into three groups:</w:t>
      </w:r>
    </w:p>
    <w:p>
      <w:pPr>
        <w:pStyle w:val="Normal"/>
        <w:rPr>
          <w:sz w:val="26"/>
        </w:rPr>
      </w:pPr>
      <w:r>
        <w:rPr>
          <w:sz w:val="26"/>
        </w:rPr>
      </w:r>
    </w:p>
    <w:p>
      <w:pPr>
        <w:pStyle w:val="Normal"/>
        <w:rPr/>
      </w:pPr>
      <w:r>
        <w:rPr>
          <w:b/>
          <w:bCs/>
          <w:sz w:val="26"/>
          <w:u w:val="single"/>
        </w:rPr>
        <w:t>Core Businesses</w:t>
      </w:r>
      <w:r>
        <w:rPr>
          <w:sz w:val="26"/>
        </w:rPr>
        <w:t xml:space="preserve"> are our consistent franchise businesses which remain strong and consistent sources of significant earnings and cash flows for the company.  These businesses include:</w:t>
      </w:r>
    </w:p>
    <w:p>
      <w:pPr>
        <w:pStyle w:val="Normal"/>
        <w:rPr>
          <w:sz w:val="26"/>
        </w:rPr>
      </w:pPr>
      <w:r>
        <w:rPr>
          <w:sz w:val="26"/>
        </w:rPr>
      </w:r>
    </w:p>
    <w:p>
      <w:pPr>
        <w:pStyle w:val="Normal"/>
        <w:numPr>
          <w:ilvl w:val="0"/>
          <w:numId w:val="1"/>
        </w:numPr>
        <w:rPr>
          <w:sz w:val="26"/>
        </w:rPr>
      </w:pPr>
      <w:r>
        <w:rPr>
          <w:sz w:val="26"/>
        </w:rPr>
        <w:t>Gas &amp; Power business in North America and Europe</w:t>
      </w:r>
    </w:p>
    <w:p>
      <w:pPr>
        <w:pStyle w:val="Normal"/>
        <w:numPr>
          <w:ilvl w:val="0"/>
          <w:numId w:val="1"/>
        </w:numPr>
        <w:rPr>
          <w:sz w:val="26"/>
        </w:rPr>
      </w:pPr>
      <w:r>
        <w:rPr>
          <w:sz w:val="26"/>
        </w:rPr>
        <w:t>Coal businesses</w:t>
      </w:r>
    </w:p>
    <w:p>
      <w:pPr>
        <w:pStyle w:val="Normal"/>
        <w:numPr>
          <w:ilvl w:val="0"/>
          <w:numId w:val="1"/>
        </w:numPr>
        <w:rPr>
          <w:sz w:val="26"/>
        </w:rPr>
      </w:pPr>
      <w:r>
        <w:rPr>
          <w:sz w:val="26"/>
        </w:rPr>
        <w:t>Retail businesses in North America and Europe</w:t>
      </w:r>
    </w:p>
    <w:p>
      <w:pPr>
        <w:pStyle w:val="Normal"/>
        <w:numPr>
          <w:ilvl w:val="0"/>
          <w:numId w:val="1"/>
        </w:numPr>
        <w:rPr>
          <w:sz w:val="26"/>
        </w:rPr>
      </w:pPr>
      <w:r>
        <w:rPr>
          <w:sz w:val="26"/>
        </w:rPr>
        <w:t>Natural Gas Pipeline businesses</w:t>
      </w:r>
    </w:p>
    <w:p>
      <w:pPr>
        <w:pStyle w:val="Normal"/>
        <w:rPr>
          <w:sz w:val="26"/>
        </w:rPr>
      </w:pPr>
      <w:r>
        <w:rPr>
          <w:sz w:val="26"/>
        </w:rPr>
      </w:r>
    </w:p>
    <w:p>
      <w:pPr>
        <w:pStyle w:val="Normal"/>
        <w:rPr>
          <w:sz w:val="26"/>
        </w:rPr>
      </w:pPr>
      <w:r>
        <w:rPr>
          <w:sz w:val="26"/>
        </w:rPr>
        <w:t>In Europe our Teesside businesses remain core.</w:t>
      </w:r>
    </w:p>
    <w:p>
      <w:pPr>
        <w:pStyle w:val="Normal"/>
        <w:rPr>
          <w:sz w:val="26"/>
        </w:rPr>
      </w:pPr>
      <w:r>
        <w:rPr>
          <w:sz w:val="26"/>
        </w:rPr>
        <w:t>Generation assets currently under development in Europe will continue, including renewable projects.</w:t>
      </w:r>
    </w:p>
    <w:p>
      <w:pPr>
        <w:pStyle w:val="Normal"/>
        <w:rPr>
          <w:sz w:val="26"/>
        </w:rPr>
      </w:pPr>
      <w:r>
        <w:rPr>
          <w:sz w:val="26"/>
        </w:rPr>
        <w:t>Our gas &amp; power business in Australia will remain core.</w:t>
      </w:r>
    </w:p>
    <w:p>
      <w:pPr>
        <w:pStyle w:val="Normal"/>
        <w:rPr>
          <w:sz w:val="26"/>
        </w:rPr>
      </w:pPr>
      <w:r>
        <w:rPr>
          <w:sz w:val="26"/>
        </w:rPr>
      </w:r>
    </w:p>
    <w:p>
      <w:pPr>
        <w:pStyle w:val="Normal"/>
        <w:rPr/>
      </w:pPr>
      <w:r>
        <w:rPr>
          <w:b/>
          <w:bCs/>
          <w:sz w:val="26"/>
          <w:u w:val="single"/>
        </w:rPr>
        <w:t>Non-Core Businesses</w:t>
      </w:r>
      <w:r>
        <w:rPr>
          <w:sz w:val="26"/>
        </w:rPr>
        <w:t xml:space="preserve"> do not provide value to Enron’s core franchise and as such we plan to exit these businesses in an orderly fashion.  We expect that the sale of these non-core businesses will generate billions of dollars of cash that Enron will use to repay debt and redeploy into its core businesses.</w:t>
      </w:r>
    </w:p>
    <w:p>
      <w:pPr>
        <w:pStyle w:val="Normal"/>
        <w:rPr>
          <w:sz w:val="26"/>
        </w:rPr>
      </w:pPr>
      <w:r>
        <w:rPr>
          <w:sz w:val="26"/>
        </w:rPr>
      </w:r>
    </w:p>
    <w:p>
      <w:pPr>
        <w:pStyle w:val="Normal"/>
        <w:rPr>
          <w:sz w:val="26"/>
        </w:rPr>
      </w:pPr>
      <w:r>
        <w:rPr>
          <w:sz w:val="26"/>
        </w:rPr>
        <w:t>In Europe our non-core businesses are our Broadband business and our interests in the Trakya, Nowa Sarzyna and Sarlux generation assets.</w:t>
      </w:r>
    </w:p>
    <w:p>
      <w:pPr>
        <w:pStyle w:val="Normal"/>
        <w:rPr>
          <w:sz w:val="26"/>
        </w:rPr>
      </w:pPr>
      <w:r>
        <w:rPr>
          <w:sz w:val="26"/>
        </w:rPr>
      </w:r>
    </w:p>
    <w:p>
      <w:pPr>
        <w:pStyle w:val="Normal"/>
        <w:rPr/>
      </w:pPr>
      <w:r>
        <w:rPr>
          <w:b/>
          <w:bCs/>
          <w:sz w:val="26"/>
          <w:u w:val="single"/>
        </w:rPr>
        <w:t xml:space="preserve">Businesses Under Review </w:t>
      </w:r>
      <w:r>
        <w:rPr>
          <w:sz w:val="26"/>
        </w:rPr>
        <w:t>are those which we believe have strong future prospects, but in the current environment we will look closely at their capital requirements and near-term growth prospects.   Over the next few weeks we will be performing an indepth assessment of each business and quickly determining what resources we can devote to them going forward and whether they can be retained as core businesses.   If we conclude that we cannot retain these businesses, then again we will be seeking to exit in an orderly manner, ideally through divestment.</w:t>
      </w:r>
    </w:p>
    <w:p>
      <w:pPr>
        <w:pStyle w:val="Normal"/>
        <w:rPr>
          <w:sz w:val="26"/>
        </w:rPr>
      </w:pPr>
      <w:r>
        <w:rPr>
          <w:sz w:val="26"/>
        </w:rPr>
      </w:r>
    </w:p>
    <w:p>
      <w:pPr>
        <w:pStyle w:val="Normal"/>
        <w:rPr>
          <w:sz w:val="26"/>
        </w:rPr>
      </w:pPr>
      <w:r>
        <w:rPr>
          <w:sz w:val="26"/>
        </w:rPr>
        <w:t>Inevitably as part of this process we will also be reviewing all of our businesses to determine where we need to make reductions to our work force and identifying opportunities to rationalise our cost structures.  More information will be available as we go through this process, but please address any immediate questions you may have to your business head or to your HR generalist.  We will also be happy to talk with any of you, but please bear in mind that we may not be able to provide all the definite answers you may be seeking at this time.</w:t>
      </w:r>
    </w:p>
    <w:p>
      <w:pPr>
        <w:pStyle w:val="Normal"/>
        <w:rPr>
          <w:sz w:val="26"/>
        </w:rPr>
      </w:pPr>
      <w:r>
        <w:rPr>
          <w:sz w:val="26"/>
        </w:rPr>
      </w:r>
    </w:p>
    <w:p>
      <w:pPr>
        <w:pStyle w:val="Normal"/>
        <w:rPr>
          <w:sz w:val="26"/>
        </w:rPr>
      </w:pPr>
      <w:r>
        <w:rPr>
          <w:sz w:val="26"/>
        </w:rPr>
        <w:t>We recognise that there are a lot of distractions at the moment, but our emphasis right now must continue to be on making money, keeping costs down and ensuring that all cash due to us in collected in on time as we move through the pre-merger period.  The merger is expected to close by the end of the third quarter 2002, but until then Dynegy and Enron will continue to function independently.</w:t>
      </w:r>
    </w:p>
    <w:p>
      <w:pPr>
        <w:pStyle w:val="Normal"/>
        <w:rPr>
          <w:sz w:val="26"/>
        </w:rPr>
      </w:pPr>
      <w:r>
        <w:rPr>
          <w:sz w:val="26"/>
        </w:rPr>
      </w:r>
    </w:p>
    <w:p>
      <w:pPr>
        <w:pStyle w:val="Normal"/>
        <w:rPr>
          <w:sz w:val="26"/>
        </w:rPr>
      </w:pPr>
      <w:r>
        <w:rPr>
          <w:sz w:val="26"/>
        </w:rPr>
        <w:t>Thanks for your continued support at what has been a challenging time for all of us.</w:t>
      </w:r>
    </w:p>
    <w:p>
      <w:pPr>
        <w:pStyle w:val="Normal"/>
        <w:rPr>
          <w:sz w:val="26"/>
        </w:rPr>
      </w:pPr>
      <w:r>
        <w:rPr>
          <w:sz w:val="26"/>
        </w:rPr>
      </w:r>
    </w:p>
    <w:p>
      <w:pPr>
        <w:pStyle w:val="Normal"/>
        <w:rPr>
          <w:sz w:val="26"/>
        </w:rPr>
      </w:pPr>
      <w:r>
        <w:rPr>
          <w:sz w:val="26"/>
        </w:rPr>
      </w:r>
    </w:p>
    <w:p>
      <w:pPr>
        <w:pStyle w:val="Normal"/>
        <w:rPr>
          <w:sz w:val="26"/>
        </w:rPr>
      </w:pPr>
      <w:r>
        <w:rPr>
          <w:sz w:val="26"/>
        </w:rPr>
        <w:t>John Sherriff and Michael Brown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2001-11-15T14:45:00Z</dcterms:created>
  <dc:creator>jgentle</dc:creator>
  <dc:description/>
  <dc:language>en-CA</dc:language>
  <cp:lastModifiedBy>fgrant</cp:lastModifiedBy>
  <dcterms:modified xsi:type="dcterms:W3CDTF">2001-11-15T14:45:00Z</dcterms:modified>
  <cp:revision>2</cp:revision>
  <dc:subject/>
  <dc:title>DRAFT to all employees</dc:title>
</cp:coreProperties>
</file>