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SCHEDULE M</w:t>
      </w:r>
    </w:p>
    <w:p>
      <w:pPr>
        <w:pStyle w:val="BlockTextBold"/>
        <w:rPr/>
      </w:pPr>
      <w:r>
        <w:rPr/>
        <w:t>(THIS SCHEDULE IS INCLUDED IF THE APPROPRIATE BOX ON THE COVER SHEET IS MARKED INDICATING A PARTY IS A GOVERNMENTAL ENTITY OR PUBLIC POWER SYSTEM)</w:t>
      </w:r>
    </w:p>
    <w:p>
      <w:pPr>
        <w:pStyle w:val="BodyTextFirstIndent"/>
        <w:rPr/>
      </w:pPr>
      <w:r>
        <w:rPr>
          <w:rStyle w:val="ParaNum"/>
        </w:rPr>
        <w:t>A.</w:t>
      </w:r>
      <w:r>
        <w:rPr/>
        <w:tab/>
        <w:t>The Parties agree to add the following definitions in Article One.</w:t>
      </w:r>
    </w:p>
    <w:p>
      <w:pPr>
        <w:pStyle w:val="QuoteFirstIndent"/>
        <w:rPr/>
      </w:pPr>
      <w:r>
        <w:rPr/>
        <w:t>“</w:t>
      </w:r>
      <w:r>
        <w:rPr/>
        <w:t>Act” means ______________________________.</w:t>
      </w:r>
      <w:r>
        <w:rPr>
          <w:rStyle w:val="FootnoteCharacters"/>
          <w:rStyle w:val="FootnoteReference"/>
        </w:rPr>
        <w:footnoteReference w:id="2"/>
      </w:r>
    </w:p>
    <w:p>
      <w:pPr>
        <w:pStyle w:val="QuoteFirstIndent"/>
        <w:rPr/>
      </w:pPr>
      <w:r>
        <w:rPr/>
        <w:t>“</w:t>
      </w:r>
      <w:r>
        <w:rPr/>
        <w:t>Governmental Entity or Public Power System” means a municipality, county, governmental board, public power authority, public utility district, joint action agency, or other similar political subdivision or public entity of the United States, one or more States or territories or any combination thereof.</w:t>
      </w:r>
    </w:p>
    <w:p>
      <w:pPr>
        <w:pStyle w:val="QuoteFirstIndent"/>
        <w:rPr/>
      </w:pPr>
      <w:r>
        <w:rPr/>
        <w:t>“</w:t>
      </w:r>
      <w:r>
        <w:rPr/>
        <w:t>Special Fund” means a fund or account of the Governmental Entity or Public Power System set aside and or pledged to satisfy the Public Power System’s obligations hereunder out of which amounts shall be paid to satisfy all of the Public Power System’s obligations under this Master Agreement for the entire Delivery Period.</w:t>
      </w:r>
    </w:p>
    <w:p>
      <w:pPr>
        <w:pStyle w:val="BodyTextFirstIndent"/>
        <w:rPr/>
      </w:pPr>
      <w:r>
        <w:rPr>
          <w:rStyle w:val="ParaNum"/>
        </w:rPr>
        <w:t>B.</w:t>
      </w:r>
      <w:r>
        <w:rPr/>
        <w:tab/>
        <w:t>The following sentence shall be added to the end of the definition of “Force Majeure” in Article One.</w:t>
      </w:r>
    </w:p>
    <w:p>
      <w:pPr>
        <w:pStyle w:val="Quote"/>
        <w:rPr/>
      </w:pPr>
      <w:r>
        <w:rPr/>
        <w:t>If the Claiming Party is a Governmental Entity or Public Power System, Force Majeure does not include any action taken by the Governmental Entity or Public Power System in its governmental capacity.</w:t>
      </w:r>
    </w:p>
    <w:p>
      <w:pPr>
        <w:pStyle w:val="BodyTextFirstIndent"/>
        <w:keepNext w:val="true"/>
        <w:rPr/>
      </w:pPr>
      <w:r>
        <w:rPr>
          <w:rStyle w:val="ParaNum"/>
        </w:rPr>
        <w:t>C.</w:t>
      </w:r>
      <w:r>
        <w:rPr/>
        <w:tab/>
        <w:t>The Parties agree to add the following representations and warranties to Section 10.2:</w:t>
      </w:r>
    </w:p>
    <w:p>
      <w:pPr>
        <w:pStyle w:val="QuoteFirstIndent"/>
        <w:rPr/>
      </w:pPr>
      <w:r>
        <w:rPr/>
        <w:t>Further and with respect to a Party that is a Governmental Entity or Public Power System, such Governmental Entity or Public Power System represents and warrants to the other Party continuing throughout the term of this Master Agreement, with respect to this Master Agreement and each Transaction, as follows: (i) all acts necessary to the valid execution, delivery and performance of this Master Agreement, including without limitation, competitive bidding, public notice, election, referendum, prior appropriation or other required procedures has or will be taken and performed as required under the Act and the Public Power System’s ordinances, bylaws or other regulations, (ii) all persons making up the governing body of Governmental Entity or Public Power System are the duly elected or appointed incumbents in their positions and hold such positions in good standing in accordance with the Act and other applicable law, (iii) entry into and performance of this Master Agreement by Governmental Entity or Public Power System are for a proper public purpose within the meaning of the Act and all other relevant constitutional, organic or other governing documents and applicable law, (iv) the term of this Master Agreement does not extend beyond any applicable limitation imposed by the Act or other relevant constitutional, organic or other governing documents and applicable law, (v) the Public Power System’s obligations to make payments hereunder are unsubordinated obligations and such payments are (a) operating and maintenance costs (or similar designation) which enjoy first priority of payment at all times under any and all bond ordinances or indentures to which it is a party, the Act and all other relevant constitutional, organic or other governing documents and applicable law or (b) otherwise not subject to any prior claim under any and all bond ordinances or indentures to which it is a party, the Act and all other relevant constitutional, organic or other governing documents and applicable law and are available without limitation or deduction to satisfy all Governmental Entity or Public Power System’ obligations hereunder and under each Transaction or (c) are to be made solely from a Special Fund, (vi) entry into and performance of this Master Agreement and each Transaction by the Governmental Entity or Public Power System will not adversely affect the exclusion from gross income for federal income tax purposes of interest on any obligation of Governmental Entity or Public Power System otherwise entitled to such exclusion, and (vii) obligations to make payments hereunder do not constitute any kind of indebtedness of Governmental Entity or Public Power System or create any kind of lien on, or security interest in, any property or revenues of Governmental Entity or Public Power System which, in either case, is proscribed by any provision of the Act or any other relevant constitutional, organic or other governing documents and applicable law, any order or judgment of any court or other agency of government applicable to it or its assets, or any contractual restriction binding on or affecting it or any of its assets.</w:t>
      </w:r>
    </w:p>
    <w:p>
      <w:pPr>
        <w:pStyle w:val="BodyTextFirstIndent"/>
        <w:keepNext w:val="true"/>
        <w:rPr/>
      </w:pPr>
      <w:r>
        <w:rPr>
          <w:rStyle w:val="ParaNum"/>
        </w:rPr>
        <w:t>D.</w:t>
      </w:r>
      <w:r>
        <w:rPr/>
        <w:tab/>
        <w:t>The Parties agree to add the following sections to Article Three:</w:t>
      </w:r>
    </w:p>
    <w:p>
      <w:pPr>
        <w:pStyle w:val="QuoteFirstIndent"/>
        <w:rPr/>
      </w:pPr>
      <w:r>
        <w:rPr/>
        <w:t xml:space="preserve">Section </w:t>
      </w:r>
      <w:r>
        <w:rPr>
          <w:rStyle w:val="ParaNum"/>
        </w:rPr>
        <w:t>3.4</w:t>
      </w:r>
      <w:r>
        <w:rPr/>
        <w:t xml:space="preserve">  </w:t>
      </w:r>
      <w:r>
        <w:rPr>
          <w:u w:val="single"/>
        </w:rPr>
        <w:t>Public Power System’s Deliveries</w:t>
      </w:r>
      <w:r>
        <w:rPr/>
        <w:t>.  On the Effective Date and as a condition to the obligations of the other Party under this Agreement, Governmental Entity or Public Power System shall provide the other Party hereto (i) certified copies of all ordinances, resolutions, public notices and other documents evidencing the necessary authorizations with respect to the execution, delivery and performance by Governmental Entity or Public Power System of this Master Agreement and (ii) an opinion of counsel for Governmental Entity or Public Power System, in form and substance reasonably satisfactory to the Other Party, regarding the validity, binding effect and enforceability of this Master Agreement against Governmental Entity or Public Power System in respect of the Act and all other relevant constitutional organic or other governing documents and applicable law.</w:t>
      </w:r>
    </w:p>
    <w:p>
      <w:pPr>
        <w:pStyle w:val="QuoteFirstIndent"/>
        <w:rPr/>
      </w:pPr>
      <w:r>
        <w:rPr/>
        <w:t xml:space="preserve">Section </w:t>
      </w:r>
      <w:r>
        <w:rPr>
          <w:rStyle w:val="ParaNum"/>
        </w:rPr>
        <w:t>3.5</w:t>
      </w:r>
      <w:r>
        <w:rPr/>
        <w:t xml:space="preserve">   </w:t>
      </w:r>
      <w:r>
        <w:rPr>
          <w:u w:val="single"/>
        </w:rPr>
        <w:t>No Immunity Claim</w:t>
      </w:r>
      <w:r>
        <w:rPr/>
        <w:t>.  Governmental Entity or Public Power System warrants and covenants that with respect to its contractual obligations hereunder and performance thereof, it will not claim immunity on the grounds of sovereignty or similar grounds with respect to itself or its revenues or assets from (a) suit, (b) jurisdiction of court (including a court located outside the jurisdiction of its organization), (c) relief by way of injunction, order for specific performance or recovery of property, (d) attachment of assets, or (e) execution or enforcement of any judgment.</w:t>
      </w:r>
    </w:p>
    <w:p>
      <w:pPr>
        <w:pStyle w:val="BodyTextFirstIndent"/>
        <w:keepNext w:val="true"/>
        <w:rPr/>
      </w:pPr>
      <w:r>
        <w:rPr>
          <w:rStyle w:val="ParaNum"/>
        </w:rPr>
        <w:t>E.</w:t>
      </w:r>
      <w:r>
        <w:rPr/>
        <w:tab/>
        <w:t>If the appropriate box is checked on the Cover Sheet, as an alternative to selecting one of the options under Section 8.3, the Parties agree to add the following section to Article Three:</w:t>
      </w:r>
    </w:p>
    <w:p>
      <w:pPr>
        <w:pStyle w:val="QuoteFirstIndent"/>
        <w:rPr/>
      </w:pPr>
      <w:r>
        <w:rPr/>
        <w:t xml:space="preserve">Section </w:t>
      </w:r>
      <w:r>
        <w:rPr>
          <w:rStyle w:val="ParaNum"/>
        </w:rPr>
        <w:t xml:space="preserve">3.6 </w:t>
      </w:r>
      <w:r>
        <w:rPr/>
        <w:t xml:space="preserve"> </w:t>
      </w:r>
      <w:r>
        <w:rPr>
          <w:u w:val="single"/>
        </w:rPr>
        <w:t>Governmental Entity or Public Power System Security</w:t>
      </w:r>
      <w:r>
        <w:rPr/>
        <w:t>.  With respect to each Transaction, Governmental Entity or Public Power System shall either (i) have created and set aside a Special Fund or (ii) upon execution of this Master Agreement and prior to the commencement of each subsequent fiscal year of Governmental Entity or Public Power System during any Delivery Period, have obtained all necessary budgetary approvals and certifications for payment of all of its obligations under this Master Agreement for such fiscal year; any breach of this provision shall be deemed to have arisen during a fiscal period of Governmental Entity or Public Power System for which budgetary approval or certification of its obligations under this Master Agreement is in effect and, notwithstanding anything to the contrary in Article Four, an Early Termination Date shall automatically and without further notice occur hereunder as of such date wherein Governmental Entity or Public Power System shall be treated as the Defaulting Party.  Governmental Entity or Public Power System shall have allocated to the Special Fund or its general funds a revenue base that is adequate to cover Public Power System’s payment obligations hereunder throughout the entire Delivery Period.</w:t>
      </w:r>
    </w:p>
    <w:p>
      <w:pPr>
        <w:pStyle w:val="BodyTextFirstIndent"/>
        <w:keepNext w:val="true"/>
        <w:rPr/>
      </w:pPr>
      <w:r>
        <w:rPr>
          <w:rStyle w:val="ParaNum"/>
        </w:rPr>
        <w:t>F.</w:t>
      </w:r>
      <w:r>
        <w:rPr/>
        <w:tab/>
        <w:t>If the appropriate box is checked on the Cover Sheet, the Parties agree to add the following section to Article Eight:</w:t>
      </w:r>
    </w:p>
    <w:p>
      <w:pPr>
        <w:pStyle w:val="QuoteFirstIndent"/>
        <w:rPr/>
      </w:pPr>
      <w:r>
        <w:rPr/>
        <w:t xml:space="preserve">Section </w:t>
      </w:r>
      <w:r>
        <w:rPr>
          <w:rStyle w:val="ParaNum"/>
        </w:rPr>
        <w:t>8.4</w:t>
      </w:r>
      <w:r>
        <w:rPr/>
        <w:t xml:space="preserve">  </w:t>
      </w:r>
      <w:r>
        <w:rPr>
          <w:u w:val="single"/>
        </w:rPr>
        <w:t>Governmental Security</w:t>
      </w:r>
      <w:r>
        <w:rPr/>
        <w:t>.  As security for payment and performance of Public Power System’s obligations hereunder, Public Power System hereby pledges, sets over, assigns and grants to the other Party a security interest in all of Public Power System’s right, title and interest in and to [specify collateral].</w:t>
      </w:r>
    </w:p>
    <w:p>
      <w:pPr>
        <w:pStyle w:val="BodyTextFirstIndent"/>
        <w:keepNext w:val="true"/>
        <w:rPr/>
      </w:pPr>
      <w:r>
        <w:rPr>
          <w:rStyle w:val="ParaNum"/>
        </w:rPr>
        <w:t>G.</w:t>
      </w:r>
      <w:r>
        <w:rPr/>
        <w:tab/>
        <w:t>The Parties agree to add the following sentence at the end of Section 10.6 - Governing Law:</w:t>
      </w:r>
    </w:p>
    <w:p>
      <w:pPr>
        <w:pStyle w:val="Quote"/>
        <w:rPr/>
      </w:pPr>
      <w:r>
        <w:rPr/>
        <w:t>NOTWITHSTANDING THE FOREGOING, IN RESPECT OF THE APPLICABILITY OF THE ACT AS HEREIN PROVIDED, THE LAWS OF THE STATE OF _____________</w:t>
      </w:r>
      <w:r>
        <w:rPr>
          <w:rStyle w:val="FootnoteCharacters"/>
          <w:rStyle w:val="FootnoteReference"/>
        </w:rPr>
        <w:footnoteReference w:id="3"/>
      </w:r>
      <w:r>
        <w:rPr/>
        <w:t xml:space="preserve"> SHALL APPLY.</w:t>
      </w:r>
      <w:r>
        <w:br w:type="page"/>
      </w:r>
    </w:p>
    <w:p>
      <w:pPr>
        <w:pStyle w:val="Heading"/>
        <w:rPr/>
      </w:pPr>
      <w:r>
        <w:rPr/>
        <w:t>SCHEDULE P:  PRODUCTS AND RELATED DEFINITIONS</w:t>
      </w:r>
    </w:p>
    <w:p>
      <w:pPr>
        <w:pStyle w:val="BodyTextFirstIndent"/>
        <w:rPr/>
      </w:pPr>
      <w:r>
        <w:rPr/>
        <w:t>“</w:t>
      </w:r>
      <w:r>
        <w:rPr/>
        <w:t xml:space="preserve">Ancillary Services” means any of the services identified by a Transmission Provider in its transmission tariff as “ancillary services” including, but not limited to, regulation and frequency response, energy imbalance, operating reserve-spinning and operating reserve-supplemental, as may be specified in the Transaction. </w:t>
      </w:r>
    </w:p>
    <w:p>
      <w:pPr>
        <w:pStyle w:val="BodyTextFirstIndent"/>
        <w:rPr/>
      </w:pPr>
      <w:r>
        <w:rPr/>
        <w:t>“</w:t>
      </w:r>
      <w:r>
        <w:rPr/>
        <w:t>Capacity” has the meaning specified in the Transaction.</w:t>
      </w:r>
    </w:p>
    <w:p>
      <w:pPr>
        <w:pStyle w:val="BodyTextFirstIndent"/>
        <w:rPr/>
      </w:pPr>
      <w:r>
        <w:rPr/>
        <w:t>“</w:t>
      </w:r>
      <w:r>
        <w:rPr/>
        <w:t xml:space="preserve">Energy” means three-phase, 60-cycle alternating current electric energy, expressed in megawatt hours. </w:t>
      </w:r>
    </w:p>
    <w:p>
      <w:pPr>
        <w:pStyle w:val="BodyTextFirstIndent"/>
        <w:rPr/>
      </w:pPr>
      <w:r>
        <w:rPr/>
        <w:t>“</w:t>
      </w:r>
      <w:r>
        <w:rPr/>
        <w:t>Firm (LD)” means, with respect to a Transaction, that either Party shall be relieved of its obligations to sell and deliver or purchase and receive without liability only to the extent that, and for the period during which, such performance is prevented by Force Majeure.  In the absence of Force Majeure, the Party to which performance is owed shall be entitled to receive from the Party which failed to deliver/receive an amount determined pursuant to Article Four.</w:t>
      </w:r>
    </w:p>
    <w:p>
      <w:pPr>
        <w:pStyle w:val="BodyTextFirstIndent"/>
        <w:rPr/>
      </w:pPr>
      <w:r>
        <w:rPr/>
        <w:t>“</w:t>
      </w:r>
      <w:r>
        <w:rPr/>
        <w:t>Firm Transmission Contingent - Contract Path” means, with respect to a Transaction, that the performance of either Seller or Buyer (as specified in the Transaction) shall be excused, and no damages shall be payable including any amounts determined pursuant to Article Four, if the transmission for such Transaction is interrupted or curtailed and (i) such Party has provided for firm transmission with the transmission provider(s) for the Product in the case of the Seller from the generation source to the Delivery Point or in the case of the Buyer from the Delivery Point to the ultimate sink, and (ii) such interruption or curtailment is due to “force majeure” or “uncontrollable force” or a similar term as defined under the applicable transmission provider’s tariff.  This contingency shall excuse performance for the duration of the interruption or curtailment notwithstanding the provisions of the definition of “Force Majeure” in Section 1.23 to the contrary.</w:t>
      </w:r>
    </w:p>
    <w:p>
      <w:pPr>
        <w:pStyle w:val="BodyTextFirstIndent"/>
        <w:rPr/>
      </w:pPr>
      <w:r>
        <w:rPr/>
        <w:t>“</w:t>
      </w:r>
      <w:r>
        <w:rPr/>
        <w:t>Firm Transmission Contingent - Delivery Point” means, with respect to a Transaction, that the performance of either Seller or Buyer (as specified in the Transaction) shall be excused, and no damages shall be payable including any amounts determined pursuant to Article Four, if the transmission to the Delivery Point (in the case of Seller) or from the Delivery Point (in the case of Buyer) for such Transaction is interrupted or curtailed and (i) such Party has provided for firm transmission with the transmission provider(s) for the Product, in the case of the Seller, to be delivered to the Delivery Point or, in the case of Buyer, to be received at the Delivery Point and (ii) such interruption or curtailment is due to “force majeure” or “uncontrollable force” or a similar term as defined under the applicable transmission provider’s tariff.  This transmission contingency excuses performance for the duration of the interruption or curtailment, notwithstanding the provisions of the definition of “Force Majeure” in Section 1.23 to the contrary.  Interruptions or curtailments of transmission other than the transmission either immediately to or from the Delivery Point shall not excuse performance</w:t>
      </w:r>
    </w:p>
    <w:p>
      <w:pPr>
        <w:pStyle w:val="BodyTextFirstIndent"/>
        <w:rPr/>
      </w:pPr>
      <w:r>
        <w:rPr/>
        <w:t>“</w:t>
      </w:r>
      <w:r>
        <w:rPr/>
        <w:t>Firm (No Force Majeure)” means, with respect to a Transaction, that if either Party fails to perform its obligation to sell and deliver or purchase and receive the Product, the Party to which performance is owed shall be entitled to receive from the Party which failed to perform an amount determined pursuant to Article Four.  Force Majeure shall not excuse performance of a Firm (No Force Majeure) Transaction.</w:t>
      </w:r>
    </w:p>
    <w:p>
      <w:pPr>
        <w:pStyle w:val="BodyTextFirstIndent"/>
        <w:rPr/>
      </w:pPr>
      <w:r>
        <w:rPr/>
        <w:t>“</w:t>
      </w:r>
      <w:r>
        <w:rPr/>
        <w:t>Into ______________ (the “Receiving Transmission Provider”), Seller’s Daily Choice” means that, in accordance with the provisions set forth below, (1) the Product shall be scheduled and delivered to an interconnection or interface (“Interface”) either (a) on the Receiving Transmission Provider’s transmission system border or (b) within the control area of the Receiving Transmission Provider if the Product is from a source of generation in that control area, which Interface, in either case, the Receiving Transmission Provider identifies as available for delivery of the Product in or into its control area; and (2) Seller has the right on a daily prescheduled basis to designate the Interface where the Product shall be delivered.  An “Into” Product shall be subject to the following provisions:</w:t>
      </w:r>
    </w:p>
    <w:p>
      <w:pPr>
        <w:pStyle w:val="BodyTextFirstIndent"/>
        <w:rPr/>
      </w:pPr>
      <w:r>
        <w:rPr>
          <w:rStyle w:val="ParaNum"/>
        </w:rPr>
        <w:t>1.</w:t>
      </w:r>
      <w:r>
        <w:rPr/>
        <w:tab/>
      </w:r>
      <w:r>
        <w:rPr>
          <w:u w:val="single"/>
        </w:rPr>
        <w:t>Prescheduling and Notification</w:t>
      </w:r>
      <w:r>
        <w:rPr/>
        <w:t>.  Subject to the provisions of Section 6, not later than the prescheduling deadline of 11:00 a.m. CPT on the Business Day before the next delivery day or as otherwise agreed to by Buyer and Seller, Seller shall notify Buyer (“Seller’s Notification”) of Seller’s immediate upstream counterparty and the Interface (the “Designated Interface”) where Seller shall deliver the Product for the next delivery day, and Buyer shall notify Seller of Buyer’s immediate downstream counterparty.</w:t>
      </w:r>
    </w:p>
    <w:p>
      <w:pPr>
        <w:pStyle w:val="BodyTextFirstIndent"/>
        <w:rPr/>
      </w:pPr>
      <w:r>
        <w:rPr>
          <w:rStyle w:val="ParaNum"/>
        </w:rPr>
        <w:t>2.</w:t>
      </w:r>
      <w:r>
        <w:rPr/>
        <w:tab/>
      </w:r>
      <w:r>
        <w:rPr>
          <w:u w:val="single"/>
        </w:rPr>
        <w:t>Availability of “Firm Transmission” to Buyer at Designated Interface; “Timely Request for Transmission,” “ADI” and “Available Transmission</w:t>
      </w:r>
      <w:r>
        <w:rPr/>
        <w:t>.</w:t>
      </w:r>
      <w:r>
        <w:rPr>
          <w:smallCaps/>
        </w:rPr>
        <w:t>”</w:t>
      </w:r>
      <w:r>
        <w:rPr/>
        <w:t xml:space="preserve">  In determining availability to Buyer of next-day firm transmission (“Firm Transmission”) from the Designated Interface, a “Timely Request for Transmission” shall mean a properly completed request for Firm Transmission made by Buyer in accordance with the controlling tariff procedures, which request shall be submitted to the Receiving Transmission Provider no later than 30 minutes after delivery of Seller’s Notification, provided, however, if the Receiving Transmission Provider is not accepting requests for Firm Transmission at the time of Seller’s Notification, then such request by Buyer shall be made within 30 minutes of the time when the Receiving Transmission Provider first opens thereafter for purposes of accepting requests for Firm Transmission.</w:t>
      </w:r>
    </w:p>
    <w:p>
      <w:pPr>
        <w:pStyle w:val="BodyTextFirstIndent"/>
        <w:rPr/>
      </w:pPr>
      <w:r>
        <w:rPr/>
        <w:t>Pursuant to the terms hereof, delivery of the Product may under certain circumstances be redesignated to occur at an Interface other than the Designated Interface (any such alternate designated interface, an “ADI”) either (a) on the Receiving Transmission Provider’s transmission system border or (b) within the control area of the Receiving Transmission Provider if the Product is from a source of generation in that control area, which ADI, in either case, the Receiving Transmission Provider identifies as available for delivery of the Product in or into its control area using either firm or non-firm transmission, as available on a day-ahead or hourly basis (individually or collectively referred to as “Available Transmission”) within the Receiving Transmission Provider’s transmission system.</w:t>
      </w:r>
    </w:p>
    <w:p>
      <w:pPr>
        <w:pStyle w:val="BodyTextFirstIndent"/>
        <w:keepNext w:val="true"/>
        <w:rPr/>
      </w:pPr>
      <w:r>
        <w:rPr>
          <w:rStyle w:val="ParaNum"/>
        </w:rPr>
        <w:t>3.</w:t>
      </w:r>
      <w:r>
        <w:rPr/>
        <w:tab/>
      </w:r>
      <w:r>
        <w:rPr>
          <w:u w:val="single"/>
        </w:rPr>
        <w:t>Rights of Buyer and Seller Depending Upon Availability of/Timely Request for Firm Transmission</w:t>
      </w:r>
      <w:r>
        <w:rPr/>
        <w:t xml:space="preserve">. </w:t>
      </w:r>
    </w:p>
    <w:p>
      <w:pPr>
        <w:pStyle w:val="BodyTextIndent"/>
        <w:rPr/>
      </w:pPr>
      <w:r>
        <w:rPr>
          <w:rStyle w:val="ParaNum"/>
        </w:rPr>
        <w:t>A.</w:t>
      </w:r>
      <w:r>
        <w:rPr/>
        <w:tab/>
      </w:r>
      <w:r>
        <w:rPr>
          <w:u w:val="single"/>
        </w:rPr>
        <w:t>Timely Request for Firm Transmission made by Buyer, Accepted by the Receiving Transmission Provider and Purchased by Buyer</w:t>
      </w:r>
      <w:r>
        <w:rPr/>
        <w:t xml:space="preserve">.  If a Timely Request for Firm Transmission is made by Buyer and is accepted by the Receiving Transmission Provider and Buyer purchases such Firm Transmission, then Seller shall deliver and Buyer shall receive the Product at the Designated Interface. </w:t>
      </w:r>
    </w:p>
    <w:p>
      <w:pPr>
        <w:pStyle w:val="BodyTextIndent2"/>
        <w:jc w:val="both"/>
        <w:rPr/>
      </w:pPr>
      <w:r>
        <w:rPr>
          <w:rStyle w:val="ParaNum"/>
        </w:rPr>
        <w:t>i.</w:t>
      </w:r>
      <w:r>
        <w:rPr/>
        <w:tab/>
        <w:t xml:space="preserve">If the Firm Transmission purchased by Buyer within the Receiving Transmission Provider’s transmission system from the Designated Interface ceases to be available to Buyer for any reason, or if Seller is unable to deliver the Product at the Designated Interface for any reason except Buyer’s non-performance, then at Seller’s choice from among the following, Seller shall:  (a) to the extent Firm Transmission is available to Buyer from an ADI on a day-ahead basis, require Buyer to purchase such Firm Transmission from such ADI, and schedule and deliver the affected portion of the Product to such ADI on the basis of Buyer’s purchase of Firm Transmission, or (b) require Buyer to purchase non-firm transmission, and schedule and deliver the affected portion of the Product on the basis of Buyer’s purchase of non-firm transmission from the Designated Interface or an ADI designated by Seller, or (c) to the extent firm transmission is available on an hourly basis, require Buyer to purchase firm transmission, and schedule and deliver the affected portion of the Product on the basis of Buyer’s purchase of such hourly firm transmission from the Designated Interface or an ADI designated by Seller.  </w:t>
      </w:r>
    </w:p>
    <w:p>
      <w:pPr>
        <w:pStyle w:val="BodyTextIndent2"/>
        <w:jc w:val="both"/>
        <w:rPr/>
      </w:pPr>
      <w:r>
        <w:rPr>
          <w:rStyle w:val="ParaNum"/>
        </w:rPr>
        <w:t>ii.</w:t>
      </w:r>
      <w:r>
        <w:rPr/>
        <w:tab/>
        <w:t>If the Available Transmission utilized by Buyer as required by Seller pursuant to Section 3A(i) ceases to be available to Buyer for any reason, then Seller shall again have those alternatives stated in Section 3A(i) in order to satisfy its obligations.</w:t>
      </w:r>
    </w:p>
    <w:p>
      <w:pPr>
        <w:pStyle w:val="BodyTextIndent2"/>
        <w:jc w:val="both"/>
        <w:rPr/>
      </w:pPr>
      <w:r>
        <w:rPr>
          <w:rStyle w:val="ParaNum"/>
        </w:rPr>
        <w:t>iii.</w:t>
      </w:r>
      <w:r>
        <w:rPr/>
        <w:tab/>
        <w:t>Seller’s obligation to schedule and deliver the Product at an ADI is subject to Buyer’s obligation referenced in Section 4B to cooperate reasonably therewith.  If Buyer and Seller cannot complete the scheduling and/or delivery at an ADI, then Buyer shall be deemed to have satisfied its receipt obligations to Seller and Seller shall be deemed to have failed its delivery obligations to Buyer, and Seller shall be liable to Buyer for amounts determined pursuant to Article Four.</w:t>
      </w:r>
    </w:p>
    <w:p>
      <w:pPr>
        <w:pStyle w:val="BodyTextIndent2"/>
        <w:jc w:val="both"/>
        <w:rPr/>
      </w:pPr>
      <w:r>
        <w:rPr>
          <w:rStyle w:val="ParaNum"/>
        </w:rPr>
        <w:t>iv.</w:t>
      </w:r>
      <w:r>
        <w:rPr/>
        <w:tab/>
        <w:t>In each instance in which Buyer and Seller must make alternative scheduling arrangements for delivery at the Designated Interface or an ADI pursuant to Sections 3A(i) or (ii), and Firm Transmission had been purchased by both Seller and Buyer into and within the Receiving Transmission Provider’s transmission system as to the scheduled delivery which could not be completed as a result of the interruption or curtailment of such Firm Transmission, Buyer and Seller shall bear their respective transmission expenses and/or associated congestion charges incurred in connection with efforts to complete delivery by such alternative scheduling and delivery arrangements.  In any instance except as set forth in the immediately preceding sentence, Buyer and Seller must make alternative scheduling arrangements for delivery at the Designated Interface or an ADI under Sections 3A(i) or (ii), Seller shall be responsible for any additional transmission purchases and/or associated congestion charges incurred by Buyer in connection with such alternative scheduling arrangements.</w:t>
      </w:r>
    </w:p>
    <w:p>
      <w:pPr>
        <w:pStyle w:val="BodyTextIndent"/>
        <w:rPr/>
      </w:pPr>
      <w:r>
        <w:rPr>
          <w:rStyle w:val="ParaNum"/>
        </w:rPr>
        <w:t>B.</w:t>
      </w:r>
      <w:r>
        <w:rPr/>
        <w:tab/>
      </w:r>
      <w:r>
        <w:rPr>
          <w:u w:val="single"/>
        </w:rPr>
        <w:t>Timely Request for Firm Transmission Made by Buyer but Rejected by the Receiving Transmission Provider</w:t>
      </w:r>
      <w:r>
        <w:rPr/>
        <w:t>.  If Buyer’s Timely Request for Firm Transmission is rejected by the Receiving Transmission Provider because of unavailability of Firm Transmission from the Designated Interface, then Buyer shall notify Seller within 15 minutes after receipt of the Receiving Transmission Provider’s notice of rejection (“Buyer’s Rejection Notice”).  If Buyer timely notifies Seller of such unavailability of Firm Transmission from the Designated Interface, then Seller shall be obligated either (1) to the extent Firm Transmission is available to Buyer from an ADI on a day-ahead basis, to require Buyer to purchase (at Buyer’s own expense) such Firm Transmission from such ADI and schedule and deliver the Product to such ADI on the basis of Buyer’s purchase of Firm Transmission, and thereafter the provisions in Section 3A shall apply, or (2) to require Buyer to purchase (at Buyer’s own expense) non-firm transmission, and schedule and deliver the Product on the basis of Buyer’s purchase of non-firm transmission from the Designated Interface or an ADI designated by the Seller, in which case Seller shall bear the risk of interruption or curtailment of the non-firm transmission; provided, however, that if the non-firm transmission is interrupted or curtailed or if Seller is unable to deliver the Product for any reason, Seller shall have the right to schedule and deliver the Product to another ADI in order to satisfy its delivery obligations, in which case Seller shall be responsible for any additional transmission purchases and/or associated congestion charges incurred by Buyer in connection with Seller’s inability to deliver the Product as originally prescheduled.  If Buyer fails to timely notify Seller of the unavailability of Firm Transmission, then Buyer shall bear the risk of interruption or curtailment of transmission from the Designated Interface, and the provisions of Section 3D shall apply.</w:t>
      </w:r>
    </w:p>
    <w:p>
      <w:pPr>
        <w:pStyle w:val="BodyTextIndent"/>
        <w:rPr/>
      </w:pPr>
      <w:r>
        <w:rPr>
          <w:rStyle w:val="ParaNum"/>
        </w:rPr>
        <w:t>C.</w:t>
      </w:r>
      <w:r>
        <w:rPr/>
        <w:tab/>
      </w:r>
      <w:r>
        <w:rPr>
          <w:u w:val="single"/>
        </w:rPr>
        <w:t>Timely Request for Firm Transmission Made by Buyer, Accepted by the Receiving Transmission Provider and not Purchased by Buyer</w:t>
      </w:r>
      <w:r>
        <w:rPr/>
        <w:t>.  If Buyer’s Timely Request for Firm Transmission is accepted by the Receiving Transmission Provider but Buyer elects to purchase non-firm transmission rather than Firm Transmission to take delivery of the Product, then Buyer shall bear the risk of interruption or curtailment of transmission from the Designated Interface.  In such circumstances, if Seller’s delivery is interrupted as a result of transmission relied upon by Buyer from the Designated Interface, then Seller shall be deemed to have satisfied its delivery obligations to Buyer, Buyer shall be deemed to have failed to receive the Product and Buyer shall be liable to Seller for amounts determined pursuant to Article Four.</w:t>
      </w:r>
    </w:p>
    <w:p>
      <w:pPr>
        <w:pStyle w:val="BodyTextIndent"/>
        <w:rPr/>
      </w:pPr>
      <w:r>
        <w:rPr>
          <w:rStyle w:val="ParaNum"/>
        </w:rPr>
        <w:t>D.</w:t>
      </w:r>
      <w:r>
        <w:rPr/>
        <w:tab/>
      </w:r>
      <w:r>
        <w:rPr>
          <w:u w:val="single"/>
        </w:rPr>
        <w:t>No Timely Request for Firm Transmission Made by Buyer, or Buyer Fails to Timely Send Buyer’s Rejection Notice</w:t>
      </w:r>
      <w:r>
        <w:rPr/>
        <w:t>.  If Buyer fails to make a Timely Request for Firm Transmission or Buyer fails to timely deliver Buyer’s Rejection Notice, then Buyer shall bear the risk of interruption or curtailment of transmission from the Designated Interface.  In such circumstances, if Seller’s delivery is interrupted as a result of transmission relied upon by Buyer from the Designated Interface, then Seller shall be deemed to have satisfied its delivery obligations to Buyer, Buyer shall be deemed to have failed to receive the Product and Buyer shall be liable to Seller for amounts determined pursuant to Article Four.</w:t>
      </w:r>
    </w:p>
    <w:p>
      <w:pPr>
        <w:pStyle w:val="BodyTextFirstIndent"/>
        <w:keepNext w:val="true"/>
        <w:rPr/>
      </w:pPr>
      <w:r>
        <w:rPr>
          <w:rStyle w:val="ParaNum"/>
        </w:rPr>
        <w:t>4.</w:t>
      </w:r>
      <w:r>
        <w:rPr/>
        <w:tab/>
      </w:r>
      <w:r>
        <w:rPr>
          <w:u w:val="single"/>
        </w:rPr>
        <w:t>Transmission</w:t>
      </w:r>
      <w:r>
        <w:rPr/>
        <w:t xml:space="preserve">. </w:t>
      </w:r>
    </w:p>
    <w:p>
      <w:pPr>
        <w:pStyle w:val="BodyTextIndent"/>
        <w:rPr/>
      </w:pPr>
      <w:r>
        <w:rPr>
          <w:rStyle w:val="ParaNum"/>
        </w:rPr>
        <w:t>A.</w:t>
      </w:r>
      <w:r>
        <w:rPr/>
        <w:tab/>
      </w:r>
      <w:r>
        <w:rPr>
          <w:u w:val="single"/>
        </w:rPr>
        <w:t>Seller’s Responsibilities</w:t>
      </w:r>
      <w:r>
        <w:rPr/>
        <w:t>.  Seller shall be responsible for transmission required to deliver the Product to the Designated Interface or ADI, as the case may be.  It is expressly agreed that Seller is not required to utilize Firm Transmission for its delivery obligations hereunder, and Seller shall bear the risk of utilizing non-firm transmission.  If Seller’s scheduled delivery to Buyer is interrupted as a result of Buyer’s attempted transmission of the Product beyond the Receiving Transmission Provider’s system border, then Seller will be deemed to have satisfied its delivery obligations to Buyer, Buyer shall be deemed to have failed to receive the Product and Buyer shall be liable to Seller for damages pursuant to Article Four.</w:t>
      </w:r>
    </w:p>
    <w:p>
      <w:pPr>
        <w:pStyle w:val="BodyTextIndent"/>
        <w:rPr/>
      </w:pPr>
      <w:r>
        <w:rPr>
          <w:rStyle w:val="ParaNum"/>
        </w:rPr>
        <w:t>B.</w:t>
      </w:r>
      <w:r>
        <w:rPr/>
        <w:tab/>
      </w:r>
      <w:r>
        <w:rPr>
          <w:u w:val="single"/>
        </w:rPr>
        <w:t>Buyer’s Responsibilities</w:t>
      </w:r>
      <w:r>
        <w:rPr/>
        <w:t>.  Buyer shall be responsible for transmission required to receive and transmit the Product at and from the Designated Interface or ADI, as the case may be, and except as specifically provided in Section 3A and 3B, shall be responsible for any costs associated with transmission therefrom.  If Seller is attempting to complete the designation of an ADI as a result of Seller’s rights and obligations hereunder, Buyer shall co-operate reasonably with Seller in order to effect such alternate designation.</w:t>
      </w:r>
    </w:p>
    <w:p>
      <w:pPr>
        <w:pStyle w:val="BodyTextFirstIndent"/>
        <w:rPr/>
      </w:pPr>
      <w:r>
        <w:rPr>
          <w:rStyle w:val="ParaNum"/>
        </w:rPr>
        <w:t>5.</w:t>
      </w:r>
      <w:r>
        <w:rPr/>
        <w:tab/>
      </w:r>
      <w:r>
        <w:rPr>
          <w:u w:val="single"/>
        </w:rPr>
        <w:t>Force Majeure</w:t>
      </w:r>
      <w:r>
        <w:rPr/>
        <w:t xml:space="preserve">.  An “Into” Product shall be subject to the “Force Majeure” provisions in Section 1.23. </w:t>
      </w:r>
    </w:p>
    <w:p>
      <w:pPr>
        <w:pStyle w:val="BodyTextFirstIndent"/>
        <w:rPr/>
      </w:pPr>
      <w:r>
        <w:rPr>
          <w:rStyle w:val="ParaNum"/>
        </w:rPr>
        <w:t>6.</w:t>
      </w:r>
      <w:r>
        <w:rPr/>
        <w:tab/>
      </w:r>
      <w:r>
        <w:rPr>
          <w:u w:val="single"/>
        </w:rPr>
        <w:t>Multiple Parties in Delivery Chain Involving a Designated Interface</w:t>
      </w:r>
      <w:r>
        <w:rPr/>
        <w:t>.  Seller and Buyer recognize that there may be multiple parties involved in the delivery and receipt of the Product at the Designated Interface or ADI to the extent that (1) Seller may be purchasing the Product from a succession of other sellers (“Other Sellers”), the first of which Other Sellers shall be causing the Product to be generated from a source (“Source Seller”) and/or (2) Buyer may be selling the Product to a succession of other buyers (“Other Buyers”), the last of which Other Buyers shall be using the Product to serve its energy needs (“Sink Buyer”).  Seller and Buyer further recognize that in certain Transactions neither Seller nor Buyer may originate the decision as to either (a) the original identification of the Designated Interface or ADI (which designation may be made by the Source Seller) or (b) the Timely Request for Firm Transmission or the purchase of other Available Transmission (which request may be made by the Sink Buyer).  Accordingly, Seller and Buyer agree as follows:</w:t>
      </w:r>
    </w:p>
    <w:p>
      <w:pPr>
        <w:pStyle w:val="BodyTextIndent"/>
        <w:rPr/>
      </w:pPr>
      <w:r>
        <w:rPr>
          <w:rStyle w:val="ParaNum"/>
        </w:rPr>
        <w:t>A.</w:t>
      </w:r>
      <w:r>
        <w:rPr/>
        <w:tab/>
        <w:t>If Seller is not the Source Seller, then Seller shall notify Buyer of the Designated Interface promptly after Seller is notified thereof by the Other Seller with whom Seller has a contractual relationship, but in no event may such designation of the Designated Interface be later than the prescheduling deadline pertaining to the Transaction between Buyer and Seller pursuant to Section 1.</w:t>
      </w:r>
    </w:p>
    <w:p>
      <w:pPr>
        <w:pStyle w:val="BodyTextIndent"/>
        <w:rPr/>
      </w:pPr>
      <w:r>
        <w:rPr>
          <w:rStyle w:val="ParaNum"/>
        </w:rPr>
        <w:t>B.</w:t>
      </w:r>
      <w:r>
        <w:rPr/>
        <w:tab/>
        <w:t>If Buyer is not the Sink Buyer, then Buyer shall notify the Other Buyer with whom Buyer has a contractual relationship of the Designated Interface promptly after Seller notifies Buyer thereof, with the intent being that the party bearing actual responsibility to secure transmission shall have up to 30 minutes after receipt of the Designated Interface to submit its Timely Request for Firm Transmission.</w:t>
      </w:r>
    </w:p>
    <w:p>
      <w:pPr>
        <w:pStyle w:val="BodyTextIndent"/>
        <w:rPr/>
      </w:pPr>
      <w:r>
        <w:rPr>
          <w:rStyle w:val="ParaNum"/>
        </w:rPr>
        <w:t>C.</w:t>
      </w:r>
      <w:r>
        <w:rPr/>
        <w:tab/>
        <w:t>Seller and Buyer each agree that any other communications or actions required to be given or made in connection with this “Into Product” (including without limitation, information relating to an ADI) shall be made or taken promptly after receipt of the relevant information from the Other Sellers and Other Buyers, as the case may be.</w:t>
      </w:r>
    </w:p>
    <w:p>
      <w:pPr>
        <w:pStyle w:val="BodyTextIndent"/>
        <w:rPr/>
      </w:pPr>
      <w:r>
        <w:rPr>
          <w:rStyle w:val="ParaNum"/>
        </w:rPr>
        <w:t>D.</w:t>
      </w:r>
      <w:r>
        <w:rPr/>
        <w:tab/>
        <w:t>Seller and Buyer each agree that in certain Transactions time is of the essence and it may be desirable to provide necessary information to Other Sellers and Other Buyers in order to complete the scheduling and delivery of the Product.  Accordingly, Seller and Buyer agree that each has the right, but not the obligation, to provide information at its own risk to Other Sellers and Other Buyers, as the case may be, in order to effect the prescheduling, scheduling and delivery of the Product</w:t>
      </w:r>
    </w:p>
    <w:p>
      <w:pPr>
        <w:pStyle w:val="BodyTextFirstIndent"/>
        <w:rPr/>
      </w:pPr>
      <w:r>
        <w:rPr/>
        <w:t>“</w:t>
      </w:r>
      <w:r>
        <w:rPr/>
        <w:t>Native Load” means the demand imposed on an electric utility or an entity by the requirements of retail customers located within a franchised service territory that the electric utility or entity has statutory obligation to serve.</w:t>
      </w:r>
    </w:p>
    <w:p>
      <w:pPr>
        <w:pStyle w:val="BodyTextFirstIndent"/>
        <w:rPr/>
      </w:pPr>
      <w:r>
        <w:rPr/>
        <w:t>“</w:t>
      </w:r>
      <w:r>
        <w:rPr/>
        <w:t>Non-Firm” means, with respect to a Transaction, that delivery or receipt of the Product may be interrupted for any reason or for no reason, without liability on the part of either Party.</w:t>
      </w:r>
    </w:p>
    <w:p>
      <w:pPr>
        <w:pStyle w:val="BodyTextFirstIndent"/>
        <w:rPr/>
      </w:pPr>
      <w:r>
        <w:rPr/>
        <w:t>“</w:t>
      </w:r>
      <w:r>
        <w:rPr/>
        <w:t>System Firm” means that the Product will be supplied from the owned or controlled generation or pre-existing purchased power assets of the system specified in the Transaction (the “System”) with non-firm transmission to and from the Delivery Point, unless a different Transmission Contingency is specified in a Transaction.  Seller’s failure to deliver shall be excused:  (i) by an event or circumstance which prevents Seller from performing its obligations, which event or circumstance was not anticipated as of the date the Transaction was agreed to, which is not within the reasonable control of, or the result of the negligence of, the Seller; (ii) by Buyer’s failure to perform; (iii) to the extent necessary to preserve the integrity of, or prevent or limit any instability on, the System; (iv) to the extent the System or the control area or reliability council within which the System operates declares an emergency condition, as determined in the system’s, or the control area’s, or reliability council’s reasonable judgment; or (v) by the interruption or curtailment of transmission to the Delivery Point or by the occurrence of any Transmission Contingency specified in a Transaction as excusing Seller’s performance.  Buyer’s failure to receive shall be excused (i) by Force Majeure; (ii) by Seller’s failure to perform, or (iii) by the interruption or curtailment of transmission from the Delivery Point or by the occurrence of any Transmission Contingency specified in a Transaction as excusing Buyer’s performance.  In any of such events, neither party shall be liable to the other for any damages, including any amounts determined pursuant to Article Four.</w:t>
      </w:r>
    </w:p>
    <w:p>
      <w:pPr>
        <w:pStyle w:val="BodyTextFirstIndent"/>
        <w:rPr/>
      </w:pPr>
      <w:r>
        <w:rPr/>
        <w:t>“</w:t>
      </w:r>
      <w:r>
        <w:rPr/>
        <w:t>Transmission Contingent” means, with respect to a Transaction, that the performance of either Seller or Buyer (as specified in the Transaction) shall be excused, and no damages shall be payable including any amounts determined pursuant to Article Four, if the transmission for such Transaction is unavailable or interrupted or curtailed for any reason, at any time, anywhere from the Seller’s proposed generating source to the Buyer’s proposed ultimate sink, regardless of whether transmission, if any, that such Party is attempting to secure and/or has purchased for the Product is firm or non-firm.  If the transmission (whether firm or non-firm) that Seller or Buyer is attempting to secure is from source to sink is unavailable, this contingency excuses performance for the entire Transaction.  If the transmission (whether firm or non-firm) that Seller or Buyer has secured from source to sink is interrupted or curtailed for any reason, this contingency excuses performance for the duration of the interruption or curtailment notwithstanding the provisions of the definition of “Force Majeure” in Article 1.23 to the contrary.</w:t>
      </w:r>
    </w:p>
    <w:p>
      <w:pPr>
        <w:pStyle w:val="BodyTextFirstIndent"/>
        <w:rPr/>
      </w:pPr>
      <w:r>
        <w:rPr/>
        <w:t>“</w:t>
      </w:r>
      <w:r>
        <w:rPr/>
        <w:t xml:space="preserve">Unit Firm” means, with respect to a Transaction, that the Product subject to the Transaction is intended to be supplied from a generation asset or assets specified in the Transaction.  Seller’s failure to deliver under a “Unit Firm” Transaction shall be excused:  (i) if the specified generation asset(s) are unavailable as a result of a Forced Outage (as defined in the NERC Generating Unit Availability Data System (GADS) Forced Outage reporting guidelines) or (ii) by an event or circumstance that affects the specified generation asset(s) so as to prevent Seller from performing its obligations, which event or circumstance was not anticipated as of the date the Transaction was agreed to, and which is not within the reasonable control of, or the result of the negligence of, the Seller or (iii) by Buyer’s failure to perform.  In any of such events, Seller shall not be liable to Buyer for any damages, including any amounts determined pursuant to Article Four.  </w:t>
      </w:r>
      <w:r>
        <w:br w:type="page"/>
      </w:r>
    </w:p>
    <w:p>
      <w:pPr>
        <w:pStyle w:val="Title-Right"/>
        <w:jc w:val="center"/>
        <w:rPr>
          <w:b w:val="false"/>
        </w:rPr>
      </w:pPr>
      <w:r>
        <w:rPr/>
        <w:t>EXHIBIT A</w:t>
      </w:r>
    </w:p>
    <w:p>
      <w:pPr>
        <w:pStyle w:val="Heading"/>
        <w:rPr/>
      </w:pPr>
      <w:r>
        <w:rPr/>
        <w:t>MASTER POWER PURCHASE AND SALE AGREEMENT</w:t>
        <w:br/>
        <w:t>CONFIRMATION LETTER</w:t>
      </w:r>
    </w:p>
    <w:p>
      <w:pPr>
        <w:pStyle w:val="BodyTextFirstIndent"/>
        <w:rPr/>
      </w:pPr>
      <w:r>
        <w:rPr/>
        <w:t>This confirmation letter shall confirm the Transaction agreed to on ___________, ___ between __________________________ (“Party A”) and _____________________ (“Party B”) regarding the sale/purchase of the Product under the terms and conditions as follows:</w:t>
      </w:r>
    </w:p>
    <w:p>
      <w:pPr>
        <w:pStyle w:val="blockwline"/>
        <w:rPr/>
      </w:pPr>
      <w:r>
        <w:rPr/>
        <w:t xml:space="preserve">Seller:  </w:t>
      </w:r>
      <w:r>
        <w:rPr>
          <w:u w:val="single"/>
        </w:rPr>
        <w:tab/>
      </w:r>
    </w:p>
    <w:p>
      <w:pPr>
        <w:pStyle w:val="blockwline"/>
        <w:rPr/>
      </w:pPr>
      <w:r>
        <w:rPr/>
        <w:t xml:space="preserve">Buyer:  </w:t>
      </w:r>
      <w:r>
        <w:rPr>
          <w:u w:val="single"/>
        </w:rPr>
        <w:tab/>
      </w:r>
    </w:p>
    <w:p>
      <w:pPr>
        <w:pStyle w:val="blockwline"/>
        <w:rPr/>
      </w:pPr>
      <w:r>
        <w:rPr/>
        <w:t xml:space="preserve">Product:  </w:t>
      </w:r>
    </w:p>
    <w:p>
      <w:pPr>
        <w:pStyle w:val="BodyText"/>
        <w:rPr/>
      </w:pPr>
      <w:r>
        <w:rPr/>
        <w:t>[]</w:t>
        <w:tab/>
        <w:t>Into _________________, Seller’s Daily Choice</w:t>
      </w:r>
    </w:p>
    <w:p>
      <w:pPr>
        <w:pStyle w:val="BodyText"/>
        <w:rPr/>
      </w:pPr>
      <w:r>
        <w:rPr/>
        <w:t>[]</w:t>
        <w:tab/>
        <w:t>Firm (LD)</w:t>
      </w:r>
    </w:p>
    <w:p>
      <w:pPr>
        <w:pStyle w:val="BodyText"/>
        <w:rPr/>
      </w:pPr>
      <w:r>
        <w:rPr/>
        <w:t>[]</w:t>
        <w:tab/>
        <w:t>Firm (No Force Majeure)</w:t>
      </w:r>
    </w:p>
    <w:p>
      <w:pPr>
        <w:pStyle w:val="BodyText"/>
        <w:rPr/>
      </w:pPr>
      <w:r>
        <w:rPr/>
        <w:t>[]</w:t>
        <w:tab/>
        <w:t xml:space="preserve">System Firm </w:t>
      </w:r>
    </w:p>
    <w:p>
      <w:pPr>
        <w:pStyle w:val="blockindentwline"/>
        <w:rPr/>
      </w:pPr>
      <w:r>
        <w:rPr/>
        <w:t xml:space="preserve">(Specify System:  </w:t>
      </w:r>
      <w:r>
        <w:rPr>
          <w:u w:val="single"/>
        </w:rPr>
        <w:tab/>
      </w:r>
      <w:r>
        <w:rPr/>
        <w:t>)</w:t>
      </w:r>
    </w:p>
    <w:p>
      <w:pPr>
        <w:pStyle w:val="BodyText"/>
        <w:rPr/>
      </w:pPr>
      <w:r>
        <w:rPr/>
        <w:t>[]</w:t>
        <w:tab/>
        <w:t>Unit Firm</w:t>
      </w:r>
    </w:p>
    <w:p>
      <w:pPr>
        <w:pStyle w:val="blockindentwline"/>
        <w:rPr/>
      </w:pPr>
      <w:r>
        <w:rPr/>
        <w:t xml:space="preserve">(Specify Unit(s):  </w:t>
      </w:r>
      <w:r>
        <w:rPr>
          <w:u w:val="single"/>
        </w:rPr>
        <w:tab/>
      </w:r>
      <w:r>
        <w:rPr/>
        <w:t>)</w:t>
      </w:r>
    </w:p>
    <w:p>
      <w:pPr>
        <w:pStyle w:val="BodyText"/>
        <w:tabs>
          <w:tab w:val="left" w:pos="720" w:leader="none"/>
          <w:tab w:val="right" w:pos="9360" w:leader="none"/>
        </w:tabs>
        <w:rPr/>
      </w:pPr>
      <w:r>
        <w:rPr/>
        <w:t>[]</w:t>
        <w:tab/>
        <w:t xml:space="preserve">Other  </w:t>
      </w:r>
      <w:r>
        <w:rPr>
          <w:u w:val="single"/>
        </w:rPr>
        <w:tab/>
      </w:r>
    </w:p>
    <w:p>
      <w:pPr>
        <w:pStyle w:val="BodyText"/>
        <w:rPr/>
      </w:pPr>
      <w:r>
        <w:rPr/>
        <w:t>[]</w:t>
        <w:tab/>
        <w:t>Transmission Contingency (If not marked, no transmission contingency)</w:t>
      </w:r>
    </w:p>
    <w:p>
      <w:pPr>
        <w:pStyle w:val="BodyText"/>
        <w:tabs>
          <w:tab w:val="clear" w:pos="720"/>
          <w:tab w:val="left" w:pos="1440" w:leader="none"/>
          <w:tab w:val="left" w:pos="5040" w:leader="none"/>
          <w:tab w:val="left" w:pos="5760" w:leader="none"/>
          <w:tab w:val="left" w:pos="7200" w:leader="none"/>
          <w:tab w:val="left" w:pos="7920" w:leader="none"/>
        </w:tabs>
        <w:ind w:start="720" w:end="0"/>
        <w:rPr/>
      </w:pPr>
      <w:r>
        <w:rPr/>
        <w:t>[]</w:t>
        <w:tab/>
        <w:t>FT-Contract Path Contingency</w:t>
        <w:tab/>
        <w:t>[]</w:t>
        <w:tab/>
        <w:t>Seller</w:t>
        <w:tab/>
        <w:t>[]</w:t>
        <w:tab/>
        <w:t xml:space="preserve">Buyer </w:t>
      </w:r>
    </w:p>
    <w:p>
      <w:pPr>
        <w:pStyle w:val="BodyText"/>
        <w:tabs>
          <w:tab w:val="clear" w:pos="720"/>
          <w:tab w:val="left" w:pos="1440" w:leader="none"/>
          <w:tab w:val="left" w:pos="5040" w:leader="none"/>
          <w:tab w:val="left" w:pos="5760" w:leader="none"/>
          <w:tab w:val="left" w:pos="7200" w:leader="none"/>
          <w:tab w:val="left" w:pos="7920" w:leader="none"/>
        </w:tabs>
        <w:ind w:start="720" w:end="0"/>
        <w:rPr/>
      </w:pPr>
      <w:r>
        <w:rPr/>
        <w:t>[]</w:t>
        <w:tab/>
        <w:t>FT-Delivery Point  Contingency</w:t>
        <w:tab/>
        <w:t>[]</w:t>
        <w:tab/>
        <w:t>Seller</w:t>
        <w:tab/>
        <w:t>[]</w:t>
        <w:tab/>
        <w:t>Buyer</w:t>
      </w:r>
    </w:p>
    <w:p>
      <w:pPr>
        <w:pStyle w:val="BodyText"/>
        <w:tabs>
          <w:tab w:val="clear" w:pos="720"/>
          <w:tab w:val="left" w:pos="1440" w:leader="none"/>
          <w:tab w:val="left" w:pos="5040" w:leader="none"/>
          <w:tab w:val="left" w:pos="5760" w:leader="none"/>
          <w:tab w:val="left" w:pos="7200" w:leader="none"/>
          <w:tab w:val="left" w:pos="7920" w:leader="none"/>
        </w:tabs>
        <w:ind w:start="720" w:end="0"/>
        <w:rPr/>
      </w:pPr>
      <w:r>
        <w:rPr/>
        <w:t>[]</w:t>
        <w:tab/>
        <w:t>Transmission Contingent</w:t>
        <w:tab/>
        <w:t>[]</w:t>
        <w:tab/>
        <w:t>Seller</w:t>
        <w:tab/>
        <w:t>[]</w:t>
        <w:tab/>
        <w:t>Buyer</w:t>
      </w:r>
    </w:p>
    <w:p>
      <w:pPr>
        <w:pStyle w:val="BodyText"/>
        <w:ind w:start="720" w:end="0"/>
        <w:rPr/>
      </w:pPr>
      <w:r>
        <w:rPr/>
        <w:t>[]</w:t>
        <w:tab/>
        <w:t>Other transmission contingency</w:t>
      </w:r>
    </w:p>
    <w:p>
      <w:pPr>
        <w:pStyle w:val="blockindentwline"/>
        <w:rPr/>
      </w:pPr>
      <w:r>
        <w:rPr/>
        <w:t xml:space="preserve">(Specify:  </w:t>
      </w:r>
      <w:r>
        <w:rPr>
          <w:u w:val="single"/>
        </w:rPr>
        <w:tab/>
      </w:r>
      <w:r>
        <w:rPr/>
        <w:t>)</w:t>
      </w:r>
    </w:p>
    <w:p>
      <w:pPr>
        <w:pStyle w:val="blockwline"/>
        <w:rPr/>
      </w:pPr>
      <w:r>
        <w:rPr/>
        <w:t xml:space="preserve">Contract Quantity:  </w:t>
      </w:r>
      <w:r>
        <w:rPr>
          <w:u w:val="single"/>
        </w:rPr>
        <w:tab/>
      </w:r>
    </w:p>
    <w:p>
      <w:pPr>
        <w:pStyle w:val="blockwline"/>
        <w:rPr/>
      </w:pPr>
      <w:r>
        <w:rPr/>
        <w:t xml:space="preserve">Delivery Point:  </w:t>
      </w:r>
      <w:r>
        <w:rPr>
          <w:u w:val="single"/>
        </w:rPr>
        <w:tab/>
      </w:r>
    </w:p>
    <w:p>
      <w:pPr>
        <w:pStyle w:val="blockwline"/>
        <w:rPr/>
      </w:pPr>
      <w:r>
        <w:rPr/>
        <w:t xml:space="preserve">Contract Price:  </w:t>
      </w:r>
    </w:p>
    <w:p>
      <w:pPr>
        <w:pStyle w:val="blockwline"/>
        <w:rPr/>
      </w:pPr>
      <w:r>
        <w:rPr/>
        <w:t xml:space="preserve">Energy Price:  </w:t>
      </w:r>
      <w:r>
        <w:rPr>
          <w:u w:val="single"/>
        </w:rPr>
        <w:tab/>
      </w:r>
    </w:p>
    <w:p>
      <w:pPr>
        <w:pStyle w:val="blockwline"/>
        <w:rPr/>
      </w:pPr>
      <w:r>
        <w:rPr/>
        <w:t xml:space="preserve">Other Charges:  </w:t>
      </w:r>
      <w:r>
        <w:rPr>
          <w:u w:val="single"/>
        </w:rPr>
        <w:tab/>
      </w:r>
      <w:r>
        <w:br w:type="page"/>
      </w:r>
    </w:p>
    <w:p>
      <w:pPr>
        <w:pStyle w:val="Normal"/>
        <w:rPr/>
      </w:pPr>
      <w:r>
        <w:rPr/>
        <w:t>Confirmation Letter</w:t>
      </w:r>
    </w:p>
    <w:p>
      <w:pPr>
        <w:pStyle w:val="Normal"/>
        <w:rPr/>
      </w:pPr>
      <w:r>
        <w:rPr/>
        <w:t>Page  2</w:t>
      </w:r>
    </w:p>
    <w:p>
      <w:pPr>
        <w:pStyle w:val="Normal"/>
        <w:rPr/>
      </w:pPr>
      <w:r>
        <w:rPr/>
      </w:r>
    </w:p>
    <w:p>
      <w:pPr>
        <w:pStyle w:val="Normal"/>
        <w:rPr/>
      </w:pPr>
      <w:r>
        <w:rPr/>
      </w:r>
    </w:p>
    <w:p>
      <w:pPr>
        <w:pStyle w:val="blockwline"/>
        <w:rPr/>
      </w:pPr>
      <w:r>
        <w:rPr/>
        <w:t xml:space="preserve">Delivery Period:  </w:t>
      </w:r>
      <w:r>
        <w:rPr>
          <w:u w:val="single"/>
        </w:rPr>
        <w:tab/>
      </w:r>
    </w:p>
    <w:p>
      <w:pPr>
        <w:pStyle w:val="blockwline"/>
        <w:rPr/>
      </w:pPr>
      <w:r>
        <w:rPr/>
        <w:t xml:space="preserve">Special Conditions:  </w:t>
      </w:r>
      <w:r>
        <w:rPr>
          <w:u w:val="single"/>
        </w:rPr>
        <w:tab/>
      </w:r>
    </w:p>
    <w:p>
      <w:pPr>
        <w:pStyle w:val="blockwline"/>
        <w:rPr/>
      </w:pPr>
      <w:r>
        <w:rPr/>
        <w:t xml:space="preserve">Scheduling:  </w:t>
      </w:r>
      <w:r>
        <w:rPr>
          <w:u w:val="single"/>
        </w:rPr>
        <w:tab/>
      </w:r>
    </w:p>
    <w:p>
      <w:pPr>
        <w:pStyle w:val="blockwline"/>
        <w:rPr/>
      </w:pPr>
      <w:r>
        <w:rPr/>
        <w:t xml:space="preserve">Option Buyer:  </w:t>
      </w:r>
      <w:r>
        <w:rPr>
          <w:u w:val="single"/>
        </w:rPr>
        <w:tab/>
      </w:r>
    </w:p>
    <w:p>
      <w:pPr>
        <w:pStyle w:val="blockwline"/>
        <w:rPr/>
      </w:pPr>
      <w:r>
        <w:rPr/>
        <w:t xml:space="preserve">Option Seller:  </w:t>
      </w:r>
      <w:r>
        <w:rPr>
          <w:u w:val="single"/>
        </w:rPr>
        <w:tab/>
      </w:r>
    </w:p>
    <w:p>
      <w:pPr>
        <w:pStyle w:val="blockindentwline"/>
        <w:rPr/>
      </w:pPr>
      <w:r>
        <w:rPr/>
        <w:t xml:space="preserve">Type of Option:  </w:t>
      </w:r>
      <w:r>
        <w:rPr>
          <w:u w:val="single"/>
        </w:rPr>
        <w:tab/>
      </w:r>
    </w:p>
    <w:p>
      <w:pPr>
        <w:pStyle w:val="blockindentwline"/>
        <w:rPr/>
      </w:pPr>
      <w:r>
        <w:rPr/>
        <w:t xml:space="preserve">Strike Price:  </w:t>
      </w:r>
      <w:r>
        <w:rPr>
          <w:u w:val="single"/>
        </w:rPr>
        <w:tab/>
      </w:r>
    </w:p>
    <w:p>
      <w:pPr>
        <w:pStyle w:val="blockindentwline"/>
        <w:rPr/>
      </w:pPr>
      <w:r>
        <w:rPr/>
        <w:t xml:space="preserve">Premium:  </w:t>
      </w:r>
      <w:r>
        <w:rPr>
          <w:u w:val="single"/>
        </w:rPr>
        <w:tab/>
      </w:r>
    </w:p>
    <w:p>
      <w:pPr>
        <w:pStyle w:val="blockindentwline"/>
        <w:rPr/>
      </w:pPr>
      <w:r>
        <w:rPr/>
        <w:t xml:space="preserve">Exercise Period:  </w:t>
      </w:r>
      <w:r>
        <w:rPr>
          <w:u w:val="single"/>
        </w:rPr>
        <w:tab/>
      </w:r>
    </w:p>
    <w:p>
      <w:pPr>
        <w:pStyle w:val="Normal"/>
        <w:rPr/>
      </w:pPr>
      <w:r>
        <w:rPr/>
      </w:r>
    </w:p>
    <w:p>
      <w:pPr>
        <w:pStyle w:val="BodyTextFirstIndent"/>
        <w:rPr/>
      </w:pPr>
      <w:r>
        <w:rPr/>
        <w:t>This confirmation letter is being provided pursuant to and in accordance with the Master Power Purchase and Sale Agreement dated ______________ (the “Master Agreement”) between Party A and Party B, and constitutes part of and is subject to the terms and provisions of such Master Agreement.  Terms used but not defined herein shall have the meanings ascribed to them in the Master Agreement.</w:t>
      </w:r>
    </w:p>
    <w:p>
      <w:pPr>
        <w:pStyle w:val="Signature-dbl"/>
        <w:rPr/>
      </w:pPr>
      <w:r>
        <w:rPr/>
        <w:t>[Party A]</w:t>
        <w:tab/>
        <w:tab/>
        <w:t>[Party B]</w:t>
      </w:r>
    </w:p>
    <w:p>
      <w:pPr>
        <w:pStyle w:val="Signature-dbl"/>
        <w:rPr/>
      </w:pPr>
      <w:r>
        <w:rPr/>
      </w:r>
    </w:p>
    <w:p>
      <w:pPr>
        <w:pStyle w:val="Signature-dbl"/>
        <w:rPr/>
      </w:pPr>
      <w:r>
        <w:rPr/>
        <w:t xml:space="preserve">Name:  </w:t>
      </w:r>
      <w:r>
        <w:rPr>
          <w:u w:val="single"/>
        </w:rPr>
        <w:tab/>
      </w:r>
      <w:r>
        <w:rPr/>
        <w:tab/>
        <w:t xml:space="preserve">Name:  </w:t>
      </w:r>
      <w:r>
        <w:rPr>
          <w:u w:val="single"/>
        </w:rPr>
        <w:tab/>
      </w:r>
    </w:p>
    <w:p>
      <w:pPr>
        <w:pStyle w:val="Signature-dbl"/>
        <w:rPr/>
      </w:pPr>
      <w:r>
        <w:rPr/>
        <w:t xml:space="preserve">Title:  </w:t>
      </w:r>
      <w:r>
        <w:rPr>
          <w:u w:val="single"/>
        </w:rPr>
        <w:tab/>
      </w:r>
      <w:r>
        <w:rPr/>
        <w:tab/>
        <w:t xml:space="preserve">Title:  </w:t>
      </w:r>
      <w:r>
        <w:rPr>
          <w:u w:val="single"/>
        </w:rPr>
        <w:tab/>
      </w:r>
    </w:p>
    <w:p>
      <w:pPr>
        <w:pStyle w:val="Signature-dbl"/>
        <w:rPr/>
      </w:pPr>
      <w:r>
        <w:rPr/>
        <w:t xml:space="preserve">Phone No:  </w:t>
      </w:r>
      <w:r>
        <w:rPr>
          <w:u w:val="single"/>
        </w:rPr>
        <w:tab/>
      </w:r>
      <w:r>
        <w:rPr/>
        <w:tab/>
        <w:t xml:space="preserve">Phone No:  </w:t>
      </w:r>
      <w:r>
        <w:rPr>
          <w:u w:val="single"/>
        </w:rPr>
        <w:tab/>
      </w:r>
    </w:p>
    <w:p>
      <w:pPr>
        <w:pStyle w:val="Signature-dbl"/>
        <w:rPr/>
      </w:pPr>
      <w:r>
        <w:rPr/>
        <w:t xml:space="preserve">Fax:  </w:t>
      </w:r>
      <w:r>
        <w:rPr>
          <w:u w:val="single"/>
        </w:rPr>
        <w:tab/>
      </w:r>
      <w:r>
        <w:rPr/>
        <w:tab/>
        <w:t xml:space="preserve">Fax:  </w:t>
      </w:r>
      <w:r>
        <w:rPr>
          <w:u w:val="single"/>
        </w:rPr>
        <w:tab/>
      </w:r>
    </w:p>
    <w:p>
      <w:pPr>
        <w:pStyle w:val="Normal"/>
        <w:rPr/>
      </w:pPr>
      <w:r>
        <w:rPr/>
      </w:r>
    </w:p>
    <w:p>
      <w:pPr>
        <w:pStyle w:val="Normal"/>
        <w:rPr/>
      </w:pPr>
      <w:r>
        <w:rPr/>
      </w:r>
    </w:p>
    <w:p>
      <w:pPr>
        <w:pStyle w:val="Normal"/>
        <w:rPr/>
      </w:pPr>
      <w:r>
        <w:rPr/>
      </w:r>
    </w:p>
    <w:p>
      <w:pPr>
        <w:sectPr>
          <w:footerReference w:type="default" r:id="rId2"/>
          <w:footnotePr>
            <w:numFmt w:val="decimal"/>
          </w:footnotePr>
          <w:type w:val="nextPage"/>
          <w:pgSz w:w="12240" w:h="15840"/>
          <w:pgMar w:left="1440" w:right="1440" w:gutter="0" w:header="0" w:top="1440" w:footer="576" w:bottom="1440"/>
          <w:pgNumType w:start="28" w:fmt="decimal"/>
          <w:formProt w:val="false"/>
          <w:textDirection w:val="lrTb"/>
          <w:docGrid w:type="default" w:linePitch="360" w:charSpace="0"/>
        </w:sectPr>
        <w:pStyle w:val="Normal"/>
        <w:rPr/>
      </w:pPr>
      <w:r>
        <w:rPr/>
      </w:r>
    </w:p>
    <w:p>
      <w:pPr>
        <w:pStyle w:val="Heading"/>
        <w:rPr>
          <w:bCs/>
        </w:rPr>
      </w:pPr>
      <w:r>
        <w:rPr>
          <w:bCs/>
        </w:rPr>
        <w:t>EXHIBIT "B"</w:t>
      </w:r>
    </w:p>
    <w:p>
      <w:pPr>
        <w:pStyle w:val="Normal"/>
        <w:spacing w:lineRule="exact" w:line="280"/>
        <w:jc w:val="center"/>
        <w:rPr>
          <w:b/>
        </w:rPr>
      </w:pPr>
      <w:r>
        <w:rPr>
          <w:b/>
        </w:rPr>
        <w:t>to the</w:t>
      </w:r>
    </w:p>
    <w:p>
      <w:pPr>
        <w:pStyle w:val="Normal"/>
        <w:spacing w:lineRule="exact" w:line="280"/>
        <w:jc w:val="center"/>
        <w:rPr>
          <w:b/>
        </w:rPr>
      </w:pPr>
      <w:r>
        <w:rPr>
          <w:b/>
          <w:caps/>
        </w:rPr>
        <w:t>Master POWER Purchase and Sale Agreement</w:t>
      </w:r>
    </w:p>
    <w:p>
      <w:pPr>
        <w:pStyle w:val="Normal"/>
        <w:spacing w:lineRule="exact" w:line="280"/>
        <w:jc w:val="center"/>
        <w:rPr>
          <w:b/>
        </w:rPr>
      </w:pPr>
      <w:r>
        <w:rPr>
          <w:b/>
        </w:rPr>
      </w:r>
    </w:p>
    <w:p>
      <w:pPr>
        <w:pStyle w:val="Normal"/>
        <w:spacing w:lineRule="exact" w:line="280"/>
        <w:jc w:val="center"/>
        <w:rPr>
          <w:b/>
        </w:rPr>
      </w:pPr>
      <w:r>
        <w:rPr>
          <w:b/>
        </w:rPr>
        <w:t>ENRON CORP. FORM OF GUARANTEE AGREEMENT</w:t>
      </w:r>
    </w:p>
    <w:p>
      <w:pPr>
        <w:pStyle w:val="Normal"/>
        <w:spacing w:lineRule="exact" w:line="280"/>
        <w:jc w:val="center"/>
        <w:rPr>
          <w:b/>
        </w:rPr>
      </w:pPr>
      <w:r>
        <w:rPr>
          <w:b/>
        </w:rPr>
      </w:r>
    </w:p>
    <w:p>
      <w:pPr>
        <w:pStyle w:val="Normal"/>
        <w:suppressAutoHyphens w:val="true"/>
        <w:jc w:val="center"/>
        <w:rPr>
          <w:spacing w:val="-2"/>
        </w:rPr>
      </w:pPr>
      <w:r>
        <w:rPr>
          <w:b/>
          <w:spacing w:val="-2"/>
        </w:rPr>
        <w:t>ENRON CORP.</w:t>
      </w:r>
    </w:p>
    <w:p>
      <w:pPr>
        <w:pStyle w:val="INVOICEHD2"/>
        <w:tabs>
          <w:tab w:val="clear" w:pos="4680"/>
        </w:tabs>
        <w:suppressAutoHyphens w:val="true"/>
        <w:rPr>
          <w:rFonts w:ascii="Times New Roman" w:hAnsi="Times New Roman" w:cs="Times New Roman"/>
          <w:spacing w:val="-2"/>
        </w:rPr>
      </w:pPr>
      <w:r>
        <w:rPr>
          <w:rFonts w:cs="Times New Roman" w:ascii="Times New Roman" w:hAnsi="Times New Roman"/>
          <w:spacing w:val="-2"/>
        </w:rPr>
      </w:r>
    </w:p>
    <w:p>
      <w:pPr>
        <w:pStyle w:val="Normal"/>
        <w:suppressAutoHyphens w:val="true"/>
        <w:jc w:val="center"/>
        <w:rPr>
          <w:spacing w:val="-2"/>
        </w:rPr>
      </w:pPr>
      <w:r>
        <w:rPr>
          <w:b/>
          <w:spacing w:val="-2"/>
          <w:u w:val="single"/>
        </w:rPr>
        <w:t>Guarantee Agreement</w:t>
      </w:r>
    </w:p>
    <w:p>
      <w:pPr>
        <w:pStyle w:val="Normal"/>
        <w:suppressAutoHyphens w:val="true"/>
        <w:jc w:val="both"/>
        <w:rPr>
          <w:spacing w:val="-2"/>
        </w:rPr>
      </w:pPr>
      <w:r>
        <w:rPr>
          <w:spacing w:val="-2"/>
        </w:rPr>
      </w:r>
    </w:p>
    <w:p>
      <w:pPr>
        <w:pStyle w:val="Normal"/>
        <w:suppressAutoHyphens w:val="true"/>
        <w:jc w:val="both"/>
        <w:rPr>
          <w:spacing w:val="-2"/>
        </w:rPr>
      </w:pPr>
      <w:r>
        <w:rPr>
          <w:spacing w:val="-2"/>
        </w:rPr>
      </w:r>
    </w:p>
    <w:p>
      <w:pPr>
        <w:pStyle w:val="Justified"/>
        <w:jc w:val="both"/>
        <w:rPr/>
      </w:pPr>
      <w:r>
        <w:rPr/>
        <w:tab/>
        <w:t>This Guarantee Agreement (this "Guarantee"), dated as of June ___, 2000, is made and entered into by Enron Corp., an Oregon corporation ("Guarantor").</w:t>
      </w:r>
    </w:p>
    <w:p>
      <w:pPr>
        <w:pStyle w:val="Normal"/>
        <w:suppressAutoHyphens w:val="true"/>
        <w:spacing w:before="240" w:after="240"/>
        <w:jc w:val="center"/>
        <w:rPr>
          <w:spacing w:val="-2"/>
        </w:rPr>
      </w:pPr>
      <w:r>
        <w:rPr>
          <w:b/>
          <w:spacing w:val="-2"/>
        </w:rPr>
        <w:t>W I T N E S S E T H:</w:t>
      </w:r>
    </w:p>
    <w:p>
      <w:pPr>
        <w:pStyle w:val="Justified"/>
        <w:ind w:firstLine="720" w:end="0"/>
        <w:jc w:val="both"/>
        <w:rPr/>
      </w:pPr>
      <w:r>
        <w:rPr>
          <w:spacing w:val="-2"/>
        </w:rPr>
        <w:t xml:space="preserve">WHEREAS, </w:t>
      </w:r>
      <w:r>
        <w:rPr/>
        <w:t>Enron Power Marketing, Inc. (the "Company") will enter into a Master Power Purchase and Sale Agreement (the "Agreement") effective as of the date of this Guarantee with Central Vermont Public Service Corp. ("Counterparty") pursuant to which Company and Counterparty may enter into transactions related to the purchase and sale of energy</w:t>
      </w:r>
      <w:r>
        <w:rPr>
          <w:spacing w:val="-2"/>
        </w:rPr>
        <w:t>; and</w:t>
      </w:r>
    </w:p>
    <w:p>
      <w:pPr>
        <w:pStyle w:val="Justified"/>
        <w:ind w:firstLine="720" w:end="0"/>
        <w:jc w:val="both"/>
        <w:rPr>
          <w:spacing w:val="-2"/>
        </w:rPr>
      </w:pPr>
      <w:r>
        <w:rPr>
          <w:spacing w:val="-2"/>
        </w:rPr>
        <w:t>WHEREAS, Guarantor will directly or indirectly benefit from the Agreement.</w:t>
      </w:r>
    </w:p>
    <w:p>
      <w:pPr>
        <w:pStyle w:val="Justified"/>
        <w:ind w:firstLine="720" w:end="0"/>
        <w:jc w:val="both"/>
        <w:rPr>
          <w:spacing w:val="-2"/>
        </w:rPr>
      </w:pPr>
      <w:r>
        <w:rPr>
          <w:spacing w:val="-2"/>
        </w:rPr>
        <w:t>NOW THEREFORE, in consideration of Counterparty entering into the Agreement, Guarantor hereby covenants and agrees as follows:</w:t>
      </w:r>
    </w:p>
    <w:p>
      <w:pPr>
        <w:pStyle w:val="Justified"/>
        <w:ind w:firstLine="720" w:end="0"/>
        <w:jc w:val="both"/>
        <w:rPr/>
      </w:pPr>
      <w:r>
        <w:rPr>
          <w:spacing w:val="-2"/>
        </w:rPr>
        <w:t>1.</w:t>
        <w:tab/>
      </w:r>
      <w:r>
        <w:rPr>
          <w:spacing w:val="-2"/>
          <w:u w:val="single"/>
        </w:rPr>
        <w:t>GUARANTY</w:t>
      </w:r>
      <w:r>
        <w:rPr>
          <w:spacing w:val="-2"/>
        </w:rPr>
        <w:t>.  Subject to the provisions hereof, Guarantor hereby irrevocably and unconditionally guarantees the timely payment when due of the obligations of Company (the "Obligations") to Counterparty in accordance with the Agreement.  To the extent that Company shall fail to pay any Obligations, Guarantor shall promptly pay to Counterparty the amount due.  This Guarantee shall constitute a guarantee of payment and not of collection.  The liability of Guarantor under the Guarantee shall be subject to the following:</w:t>
      </w:r>
    </w:p>
    <w:p>
      <w:pPr>
        <w:pStyle w:val="Justified"/>
        <w:ind w:firstLine="720" w:end="0"/>
        <w:jc w:val="both"/>
        <w:rPr>
          <w:spacing w:val="-2"/>
        </w:rPr>
      </w:pPr>
      <w:r>
        <w:rPr>
          <w:spacing w:val="-2"/>
        </w:rPr>
        <w:t>(a)</w:t>
        <w:tab/>
        <w:t>Guarantor's liability hereunder shall be and is specifically limited to payments expressly required to be made in accordance with the Agreement (even if such payments are deemed to be damages) and, except to the extent specifically provided in the Agreement, in no event shall Guarantor be subject hereunder to consequential, exemplary, equitable, loss of profits, punitive, tort, or any other damages, costs, or attorney's fees.</w:t>
      </w:r>
    </w:p>
    <w:p>
      <w:pPr>
        <w:pStyle w:val="Justified"/>
        <w:ind w:firstLine="720" w:end="0"/>
        <w:jc w:val="both"/>
        <w:rPr/>
      </w:pPr>
      <w:r>
        <w:rPr>
          <w:spacing w:val="-2"/>
        </w:rPr>
        <w:t>(b)</w:t>
        <w:tab/>
        <w:t>The aggregate amount covered by this Guarantee shall not exceed Twenty-Five Million</w:t>
      </w:r>
      <w:r>
        <w:rPr>
          <w:b/>
          <w:bCs/>
          <w:spacing w:val="-2"/>
        </w:rPr>
        <w:t xml:space="preserve"> </w:t>
      </w:r>
      <w:r>
        <w:rPr>
          <w:spacing w:val="-2"/>
        </w:rPr>
        <w:t>U.S. Dollars ($25,000,000.00).</w:t>
      </w:r>
    </w:p>
    <w:p>
      <w:pPr>
        <w:pStyle w:val="Justified"/>
        <w:ind w:firstLine="720" w:end="0"/>
        <w:jc w:val="both"/>
        <w:rPr/>
      </w:pPr>
      <w:r>
        <w:rPr>
          <w:spacing w:val="-2"/>
        </w:rPr>
        <w:t>2.</w:t>
        <w:tab/>
      </w:r>
      <w:r>
        <w:rPr>
          <w:spacing w:val="-2"/>
          <w:u w:val="single"/>
        </w:rPr>
        <w:t>DEMANDS AND NOTICE</w:t>
      </w:r>
      <w:r>
        <w:rPr>
          <w:spacing w:val="-2"/>
        </w:rPr>
        <w:t>.  If Company fails or refuses to pay any Obligations, Counterparty shall notify Company in writing of the manner in which Company has failed to pay and demand that payment be made by Company.  If Company's failure or refusal to pay continues for a period of fifteen (15) days after the date of Counterparty's notice to Company, and Counterparty has elected to exercise its rights under this Guarantee, Counterparty shall make a demand upon Guarantor (hereinafter referred to as a "Payment Demand").  A Payment Demand shall be in writing and shall reasonably and briefly specify in what manner and what amount Company has failed to pay and an explanation of why such payment is due, with a specific statement that Counterparty is calling upon Guarantor to pay under this Guarantee.  A Payment Demand satisfying the foregoing requirements shall be deemed sufficient notice to Guarantor that it must pay the Obligations.  A single written Payment Demand shall be effective as to any specific default during the continuance of such default, until Company or Guarantor has cured such default, and additional written demands concerning such default shall not be required until such default is cured.</w:t>
      </w:r>
    </w:p>
    <w:p>
      <w:pPr>
        <w:pStyle w:val="Justified"/>
        <w:ind w:firstLine="720" w:end="0"/>
        <w:jc w:val="both"/>
        <w:rPr/>
      </w:pPr>
      <w:r>
        <w:rPr>
          <w:spacing w:val="-2"/>
        </w:rPr>
        <w:t>3.</w:t>
        <w:tab/>
      </w:r>
      <w:r>
        <w:rPr>
          <w:spacing w:val="-2"/>
          <w:u w:val="single"/>
        </w:rPr>
        <w:t>REPRESENTATIONS AND WARRANTIES</w:t>
      </w:r>
      <w:r>
        <w:rPr>
          <w:spacing w:val="-2"/>
        </w:rPr>
        <w:t>.  Guarantor represents and warrants that:</w:t>
      </w:r>
    </w:p>
    <w:p>
      <w:pPr>
        <w:pStyle w:val="Justified"/>
        <w:ind w:firstLine="720" w:end="0"/>
        <w:jc w:val="both"/>
        <w:rPr>
          <w:spacing w:val="-2"/>
        </w:rPr>
      </w:pPr>
      <w:r>
        <w:rPr>
          <w:spacing w:val="-2"/>
        </w:rPr>
        <w:t>(a)</w:t>
        <w:tab/>
        <w:t>it is a corporation duly organized and validly existing under the laws of the State of  Oregon and has the corporate power and authority to execute, deliver and carry out the terms and provisions of the Guarantee;</w:t>
      </w:r>
    </w:p>
    <w:p>
      <w:pPr>
        <w:pStyle w:val="Justified"/>
        <w:ind w:firstLine="720" w:end="0"/>
        <w:jc w:val="both"/>
        <w:rPr>
          <w:spacing w:val="-2"/>
        </w:rPr>
      </w:pPr>
      <w:r>
        <w:rPr>
          <w:spacing w:val="-2"/>
        </w:rPr>
        <w:t>(b)</w:t>
        <w:tab/>
        <w:t>no authorization, approval, consent or order of, or registration or filing with, any court or other governmental body having jurisdiction over Guarantor is required on the part of Guarantor for the execution and delivery of this Guarantee; and</w:t>
      </w:r>
    </w:p>
    <w:p>
      <w:pPr>
        <w:pStyle w:val="Justified"/>
        <w:ind w:firstLine="720" w:end="0"/>
        <w:jc w:val="both"/>
        <w:rPr>
          <w:spacing w:val="-2"/>
        </w:rPr>
      </w:pPr>
      <w:r>
        <w:rPr>
          <w:spacing w:val="-2"/>
        </w:rPr>
        <w:t>(c)</w:t>
        <w:tab/>
        <w:t>this Guarantee constitutes a valid and legally binding agreement of Guarantor, except as the enforceability of this Guarantee may be limited by the effect of any applicable bankruptcy, insolvency, reorganization, moratorium or similar laws affecting creditors’ rights generally and by general principles of equity.</w:t>
      </w:r>
    </w:p>
    <w:p>
      <w:pPr>
        <w:pStyle w:val="Justified"/>
        <w:ind w:firstLine="720" w:end="0"/>
        <w:jc w:val="both"/>
        <w:rPr/>
      </w:pPr>
      <w:r>
        <w:rPr>
          <w:spacing w:val="-2"/>
        </w:rPr>
        <w:t>4.</w:t>
        <w:tab/>
      </w:r>
      <w:r>
        <w:rPr>
          <w:spacing w:val="-2"/>
          <w:u w:val="single"/>
        </w:rPr>
        <w:t>SETOFFS AND COUNTERCLAIMS</w:t>
      </w:r>
      <w:r>
        <w:rPr>
          <w:spacing w:val="-2"/>
        </w:rPr>
        <w:t>.  Without limiting Guarantor's own defenses and rights hereunder, Guarantor reserves to itself all rights, setoffs, counterclaims and other defenses to which Company or any other affiliate of Guarantor is or may be entitled to arising from or out of the Agreement or otherwise, except for defenses arising out of the bankruptcy, insolvency, dissolution or liquidation of Company.</w:t>
      </w:r>
    </w:p>
    <w:p>
      <w:pPr>
        <w:pStyle w:val="Justified"/>
        <w:ind w:firstLine="720" w:end="0"/>
        <w:jc w:val="both"/>
        <w:rPr/>
      </w:pPr>
      <w:r>
        <w:rPr>
          <w:spacing w:val="-2"/>
        </w:rPr>
        <w:t>5.</w:t>
        <w:tab/>
      </w:r>
      <w:r>
        <w:rPr>
          <w:spacing w:val="-2"/>
          <w:u w:val="single"/>
        </w:rPr>
        <w:t>AMENDMENT OF GUARANTY</w:t>
      </w:r>
      <w:r>
        <w:rPr>
          <w:spacing w:val="-2"/>
        </w:rPr>
        <w:t>.  No term or provision of this Guarantee shall be amended, modified, altered, waived, or supplemented except in a writing signed by the parties hereto.</w:t>
      </w:r>
    </w:p>
    <w:p>
      <w:pPr>
        <w:pStyle w:val="Justified"/>
        <w:ind w:firstLine="720" w:end="0"/>
        <w:jc w:val="both"/>
        <w:rPr/>
      </w:pPr>
      <w:r>
        <w:rPr>
          <w:spacing w:val="-2"/>
        </w:rPr>
        <w:t>6.</w:t>
        <w:tab/>
      </w:r>
      <w:r>
        <w:rPr>
          <w:spacing w:val="-2"/>
          <w:u w:val="single"/>
        </w:rPr>
        <w:t>WAIVERS</w:t>
      </w:r>
      <w:r>
        <w:rPr>
          <w:spacing w:val="-2"/>
        </w:rPr>
        <w:t>.  Guarantor hereby waives (a) notice of acceptance of this Guarantee; (b) presentment and demand concerning the liabilities of Guarantor, except as expressly hereinabove set forth; and (c) any right to require that any action or proceeding be brought against Company or any other person, or except as expressly hereinabove set forth, to require that Counterparty seek enforcement of any performance against Company or any other person, prior to any action against Guarantor under the terms hereof.</w:t>
      </w:r>
    </w:p>
    <w:p>
      <w:pPr>
        <w:pStyle w:val="Justified"/>
        <w:ind w:firstLine="720" w:end="0"/>
        <w:jc w:val="both"/>
        <w:rPr>
          <w:spacing w:val="-2"/>
        </w:rPr>
      </w:pPr>
      <w:r>
        <w:rPr>
          <w:spacing w:val="-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Justified"/>
        <w:ind w:firstLine="720" w:end="0"/>
        <w:jc w:val="both"/>
        <w:rPr>
          <w:spacing w:val="-2"/>
        </w:rPr>
      </w:pPr>
      <w:r>
        <w:rPr>
          <w:spacing w:val="-2"/>
        </w:rPr>
        <w:t>Guarantor consents to the renewal, compromise, extension, acceleration or other changes in the time of payment of or other changes in the terms of the Obligations, or any part thereof or any changes or modifications to the terms of the Agreement.</w:t>
      </w:r>
    </w:p>
    <w:p>
      <w:pPr>
        <w:pStyle w:val="Justified"/>
        <w:ind w:firstLine="720" w:end="0"/>
        <w:jc w:val="both"/>
        <w:rPr>
          <w:spacing w:val="-2"/>
        </w:rPr>
      </w:pPr>
      <w:r>
        <w:rPr/>
        <w:t>Guarantor may terminate this Guarantee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Agreement) entered into prior to the time the termination is effective, which Transaction shall remain guaranteed pursuant to the terms of this Guarantee.</w:t>
      </w:r>
    </w:p>
    <w:p>
      <w:pPr>
        <w:pStyle w:val="Justified"/>
        <w:ind w:firstLine="720" w:end="0"/>
        <w:jc w:val="both"/>
        <w:rPr/>
      </w:pPr>
      <w:r>
        <w:rPr>
          <w:spacing w:val="-2"/>
        </w:rPr>
        <w:t>7.</w:t>
        <w:tab/>
      </w:r>
      <w:r>
        <w:rPr>
          <w:spacing w:val="-2"/>
          <w:u w:val="single"/>
        </w:rPr>
        <w:t>NOTICE</w:t>
      </w:r>
      <w:r>
        <w:rPr>
          <w:spacing w:val="-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suppressAutoHyphens w:val="true"/>
        <w:jc w:val="both"/>
        <w:rPr>
          <w:spacing w:val="-2"/>
        </w:rPr>
      </w:pPr>
      <w:r>
        <w:rPr>
          <w:spacing w:val="-2"/>
        </w:rPr>
      </w:r>
    </w:p>
    <w:p>
      <w:pPr>
        <w:pStyle w:val="Normal"/>
        <w:keepNext w:val="true"/>
        <w:tabs>
          <w:tab w:val="clear" w:pos="720"/>
          <w:tab w:val="left" w:pos="1440" w:leader="none"/>
          <w:tab w:val="left" w:pos="4320" w:leader="none"/>
          <w:tab w:val="left" w:pos="7920" w:leader="none"/>
        </w:tabs>
        <w:suppressAutoHyphens w:val="true"/>
        <w:ind w:start="720" w:end="0"/>
        <w:jc w:val="both"/>
        <w:rPr>
          <w:spacing w:val="-3"/>
        </w:rPr>
      </w:pPr>
      <w:r>
        <w:rPr>
          <w:spacing w:val="-2"/>
        </w:rPr>
        <w:t>To Counterparty:</w:t>
        <w:tab/>
        <w:t xml:space="preserve">Central Vermont Public Service Corp. </w:t>
      </w:r>
    </w:p>
    <w:p>
      <w:pPr>
        <w:pStyle w:val="Normal"/>
        <w:keepNext w:val="true"/>
        <w:tabs>
          <w:tab w:val="clear" w:pos="720"/>
          <w:tab w:val="left" w:pos="1440" w:leader="none"/>
          <w:tab w:val="left" w:pos="4320" w:leader="none"/>
          <w:tab w:val="left" w:pos="7920" w:leader="none"/>
        </w:tabs>
        <w:suppressAutoHyphens w:val="true"/>
        <w:ind w:start="720" w:end="0"/>
        <w:jc w:val="both"/>
        <w:rPr>
          <w:spacing w:val="-3"/>
        </w:rPr>
      </w:pPr>
      <w:r>
        <w:rPr>
          <w:spacing w:val="-3"/>
        </w:rPr>
        <w:tab/>
        <w:tab/>
        <w:t>77 Grove Street</w:t>
      </w:r>
    </w:p>
    <w:p>
      <w:pPr>
        <w:pStyle w:val="Normal"/>
        <w:keepNext w:val="true"/>
        <w:tabs>
          <w:tab w:val="clear" w:pos="720"/>
          <w:tab w:val="left" w:pos="1440" w:leader="none"/>
          <w:tab w:val="left" w:pos="4320" w:leader="none"/>
          <w:tab w:val="left" w:pos="7920" w:leader="none"/>
        </w:tabs>
        <w:suppressAutoHyphens w:val="true"/>
        <w:ind w:start="720" w:end="0"/>
        <w:jc w:val="both"/>
        <w:rPr>
          <w:spacing w:val="-3"/>
        </w:rPr>
      </w:pPr>
      <w:r>
        <w:rPr>
          <w:spacing w:val="-3"/>
        </w:rPr>
        <w:tab/>
        <w:tab/>
        <w:t>Rutland, Vermont 05701</w:t>
      </w:r>
    </w:p>
    <w:p>
      <w:pPr>
        <w:pStyle w:val="Normal"/>
        <w:keepNext w:val="true"/>
        <w:tabs>
          <w:tab w:val="clear" w:pos="720"/>
          <w:tab w:val="left" w:pos="1440" w:leader="none"/>
          <w:tab w:val="left" w:pos="4320" w:leader="none"/>
          <w:tab w:val="left" w:pos="7920" w:leader="none"/>
        </w:tabs>
        <w:suppressAutoHyphens w:val="true"/>
        <w:ind w:start="720" w:end="0"/>
        <w:jc w:val="both"/>
        <w:rPr>
          <w:spacing w:val="-3"/>
        </w:rPr>
      </w:pPr>
      <w:r>
        <w:rPr>
          <w:spacing w:val="-3"/>
        </w:rPr>
        <w:tab/>
        <w:tab/>
        <w:t>Attn.:</w:t>
      </w:r>
      <w:r>
        <w:rPr>
          <w:spacing w:val="-3"/>
          <w:u w:val="single"/>
        </w:rPr>
        <w:tab/>
      </w:r>
    </w:p>
    <w:p>
      <w:pPr>
        <w:pStyle w:val="Normal"/>
        <w:keepNext w:val="true"/>
        <w:tabs>
          <w:tab w:val="clear" w:pos="720"/>
          <w:tab w:val="left" w:pos="1440" w:leader="none"/>
          <w:tab w:val="left" w:pos="4320" w:leader="none"/>
          <w:tab w:val="left" w:pos="7920" w:leader="none"/>
        </w:tabs>
        <w:suppressAutoHyphens w:val="true"/>
        <w:ind w:start="720" w:end="0"/>
        <w:jc w:val="both"/>
        <w:rPr>
          <w:spacing w:val="-2"/>
        </w:rPr>
      </w:pPr>
      <w:r>
        <w:rPr>
          <w:spacing w:val="-3"/>
        </w:rPr>
        <w:tab/>
        <w:tab/>
        <w:t>Fax No.</w:t>
      </w:r>
      <w:r>
        <w:rPr>
          <w:spacing w:val="-3"/>
          <w:u w:val="single"/>
        </w:rPr>
        <w:tab/>
      </w:r>
    </w:p>
    <w:p>
      <w:pPr>
        <w:pStyle w:val="Normal"/>
        <w:tabs>
          <w:tab w:val="clear" w:pos="720"/>
          <w:tab w:val="left" w:pos="1440" w:leader="none"/>
          <w:tab w:val="left" w:pos="4320" w:leader="none"/>
        </w:tabs>
        <w:suppressAutoHyphens w:val="true"/>
        <w:ind w:start="720" w:end="0"/>
        <w:jc w:val="both"/>
        <w:rPr>
          <w:spacing w:val="-2"/>
        </w:rPr>
      </w:pPr>
      <w:r>
        <w:rPr>
          <w:spacing w:val="-2"/>
        </w:rPr>
      </w:r>
    </w:p>
    <w:p>
      <w:pPr>
        <w:pStyle w:val="Normal"/>
        <w:keepNext w:val="true"/>
        <w:keepLines/>
        <w:tabs>
          <w:tab w:val="clear" w:pos="720"/>
          <w:tab w:val="left" w:pos="1440" w:leader="none"/>
          <w:tab w:val="left" w:pos="4320" w:leader="none"/>
        </w:tabs>
        <w:suppressAutoHyphens w:val="true"/>
        <w:ind w:start="720" w:end="0"/>
        <w:jc w:val="both"/>
        <w:rPr>
          <w:spacing w:val="-2"/>
        </w:rPr>
      </w:pPr>
      <w:r>
        <w:rPr>
          <w:spacing w:val="-2"/>
        </w:rPr>
        <w:t>To Guarantor:</w:t>
        <w:tab/>
        <w:t>Enron Corp.</w:t>
      </w:r>
    </w:p>
    <w:p>
      <w:pPr>
        <w:pStyle w:val="Normal"/>
        <w:keepNext w:val="true"/>
        <w:keepLines/>
        <w:tabs>
          <w:tab w:val="clear" w:pos="720"/>
          <w:tab w:val="left" w:pos="1440" w:leader="none"/>
          <w:tab w:val="left" w:pos="4320" w:leader="none"/>
        </w:tabs>
        <w:suppressAutoHyphens w:val="true"/>
        <w:ind w:start="720" w:end="0"/>
        <w:jc w:val="both"/>
        <w:rPr>
          <w:spacing w:val="-2"/>
        </w:rPr>
      </w:pPr>
      <w:r>
        <w:rPr>
          <w:spacing w:val="-2"/>
        </w:rPr>
        <w:tab/>
        <w:tab/>
        <w:t>1400 Smith Street</w:t>
      </w:r>
    </w:p>
    <w:p>
      <w:pPr>
        <w:pStyle w:val="Normal"/>
        <w:keepNext w:val="true"/>
        <w:keepLines/>
        <w:tabs>
          <w:tab w:val="clear" w:pos="720"/>
          <w:tab w:val="left" w:pos="1440" w:leader="none"/>
          <w:tab w:val="left" w:pos="4320" w:leader="none"/>
        </w:tabs>
        <w:suppressAutoHyphens w:val="true"/>
        <w:ind w:start="720" w:end="0"/>
        <w:jc w:val="both"/>
        <w:rPr>
          <w:spacing w:val="-2"/>
        </w:rPr>
      </w:pPr>
      <w:r>
        <w:rPr>
          <w:spacing w:val="-2"/>
        </w:rPr>
        <w:tab/>
        <w:tab/>
        <w:t>Houston, Texas  77002</w:t>
      </w:r>
    </w:p>
    <w:p>
      <w:pPr>
        <w:pStyle w:val="Normal"/>
        <w:keepNext w:val="true"/>
        <w:keepLines/>
        <w:tabs>
          <w:tab w:val="clear" w:pos="720"/>
          <w:tab w:val="left" w:pos="1440" w:leader="none"/>
          <w:tab w:val="left" w:pos="4320" w:leader="none"/>
        </w:tabs>
        <w:suppressAutoHyphens w:val="true"/>
        <w:ind w:start="720" w:end="0"/>
        <w:jc w:val="both"/>
        <w:rPr>
          <w:spacing w:val="-2"/>
        </w:rPr>
      </w:pPr>
      <w:r>
        <w:rPr>
          <w:spacing w:val="-2"/>
        </w:rPr>
        <w:tab/>
        <w:tab/>
        <w:t>Attn.:  Vice President, Finance and Treasurer</w:t>
      </w:r>
    </w:p>
    <w:p>
      <w:pPr>
        <w:pStyle w:val="Normal"/>
        <w:tabs>
          <w:tab w:val="clear" w:pos="720"/>
          <w:tab w:val="left" w:pos="1440" w:leader="none"/>
          <w:tab w:val="left" w:pos="4320" w:leader="none"/>
        </w:tabs>
        <w:suppressAutoHyphens w:val="true"/>
        <w:ind w:start="720" w:end="0"/>
        <w:jc w:val="both"/>
        <w:rPr>
          <w:spacing w:val="-2"/>
        </w:rPr>
      </w:pPr>
      <w:r>
        <w:rPr>
          <w:spacing w:val="-2"/>
        </w:rPr>
        <w:tab/>
        <w:tab/>
        <w:t>Fax No.:  (713) 646-3422</w:t>
      </w:r>
    </w:p>
    <w:p>
      <w:pPr>
        <w:pStyle w:val="Normal"/>
        <w:suppressAutoHyphens w:val="true"/>
        <w:jc w:val="both"/>
        <w:rPr>
          <w:spacing w:val="-2"/>
        </w:rPr>
      </w:pPr>
      <w:r>
        <w:rPr>
          <w:spacing w:val="-2"/>
        </w:rPr>
      </w:r>
    </w:p>
    <w:p>
      <w:pPr>
        <w:pStyle w:val="Justified"/>
        <w:ind w:firstLine="720" w:end="0"/>
        <w:jc w:val="both"/>
        <w:rPr/>
      </w:pPr>
      <w:r>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Justified"/>
        <w:ind w:firstLine="720" w:end="0"/>
        <w:jc w:val="both"/>
        <w:rPr/>
      </w:pPr>
      <w:r>
        <w:rPr/>
        <w:t>8.</w:t>
        <w:tab/>
      </w:r>
      <w:r>
        <w:rPr>
          <w:u w:val="single"/>
        </w:rPr>
        <w:t>MISCELLANEOUS</w:t>
      </w:r>
      <w:r>
        <w:rPr/>
        <w:t>.  THIS GUARANTEE SHALL IN ALL RESPECTS BE GOVERNED BY, AND CONSTRUED IN ACCORDANCE WITH, THE LAWS OF THE STATE OF TEXAS, WITHOUT REGARD TO PRINCIPLES OF CONFLICTS OF LAWS.  This Guarantee shall be binding upon Guarantor, its successors and assigns and inure to the benefit of and be enforceable by Counterparty, its successors and assigns.  The Guarantee embodies the entire agreement and understanding between Guarantor and Counterparty and supersedes all prior agreements and understandings relating to the subject matter hereof.  The headings in this Guarantee are for purposes of reference only, and shall not affect the meaning hereof.  This Guarantee may be executed in any number of counterparts, each of which shall be an original, but all of which together shall constitute one instrument.</w:t>
      </w:r>
    </w:p>
    <w:p>
      <w:pPr>
        <w:pStyle w:val="Justified"/>
        <w:keepNext w:val="true"/>
        <w:keepLines/>
        <w:ind w:firstLine="720" w:end="0"/>
        <w:jc w:val="both"/>
        <w:rPr/>
      </w:pPr>
      <w:r>
        <w:rPr/>
        <w:t>EXECUTED as of the day and year first above written.</w:t>
      </w:r>
    </w:p>
    <w:p>
      <w:pPr>
        <w:pStyle w:val="Normal"/>
        <w:keepNext w:val="true"/>
        <w:keepLines/>
        <w:suppressAutoHyphens w:val="true"/>
        <w:jc w:val="both"/>
        <w:rPr>
          <w:spacing w:val="-2"/>
        </w:rPr>
      </w:pPr>
      <w:r>
        <w:rPr>
          <w:spacing w:val="-2"/>
        </w:rPr>
      </w:r>
    </w:p>
    <w:p>
      <w:pPr>
        <w:pStyle w:val="Normal"/>
        <w:keepNext w:val="true"/>
        <w:keepLines/>
        <w:suppressAutoHyphens w:val="true"/>
        <w:jc w:val="both"/>
        <w:rPr>
          <w:spacing w:val="-2"/>
        </w:rPr>
      </w:pPr>
      <w:r>
        <w:rPr>
          <w:spacing w:val="-2"/>
        </w:rPr>
      </w:r>
    </w:p>
    <w:p>
      <w:pPr>
        <w:pStyle w:val="Normal"/>
        <w:keepNext w:val="true"/>
        <w:keepLines/>
        <w:tabs>
          <w:tab w:val="clear" w:pos="720"/>
          <w:tab w:val="left" w:pos="5040" w:leader="none"/>
          <w:tab w:val="left" w:pos="9180" w:leader="none"/>
        </w:tabs>
        <w:suppressAutoHyphens w:val="true"/>
        <w:jc w:val="both"/>
        <w:rPr>
          <w:spacing w:val="-2"/>
        </w:rPr>
      </w:pPr>
      <w:r>
        <w:rPr>
          <w:b/>
          <w:spacing w:val="-2"/>
        </w:rPr>
        <w:tab/>
        <w:t>ENRON CORP.</w:t>
      </w:r>
    </w:p>
    <w:p>
      <w:pPr>
        <w:pStyle w:val="Normal"/>
        <w:keepNext w:val="true"/>
        <w:keepLines/>
        <w:tabs>
          <w:tab w:val="clear" w:pos="720"/>
          <w:tab w:val="left" w:pos="5040" w:leader="none"/>
          <w:tab w:val="left" w:pos="9180" w:leader="none"/>
        </w:tabs>
        <w:suppressAutoHyphens w:val="true"/>
        <w:jc w:val="both"/>
        <w:rPr>
          <w:spacing w:val="-2"/>
        </w:rPr>
      </w:pPr>
      <w:r>
        <w:rPr>
          <w:spacing w:val="-2"/>
        </w:rPr>
      </w:r>
    </w:p>
    <w:p>
      <w:pPr>
        <w:pStyle w:val="Normal"/>
        <w:keepNext w:val="true"/>
        <w:keepLines/>
        <w:tabs>
          <w:tab w:val="clear" w:pos="720"/>
          <w:tab w:val="left" w:pos="5040" w:leader="none"/>
          <w:tab w:val="left" w:pos="9180" w:leader="none"/>
        </w:tabs>
        <w:suppressAutoHyphens w:val="true"/>
        <w:jc w:val="both"/>
        <w:rPr>
          <w:spacing w:val="-2"/>
        </w:rPr>
      </w:pPr>
      <w:r>
        <w:rPr>
          <w:spacing w:val="-2"/>
        </w:rPr>
      </w:r>
    </w:p>
    <w:p>
      <w:pPr>
        <w:pStyle w:val="Normal"/>
        <w:keepNext w:val="true"/>
        <w:keepLines/>
        <w:tabs>
          <w:tab w:val="clear" w:pos="720"/>
          <w:tab w:val="left" w:pos="5040" w:leader="none"/>
          <w:tab w:val="left" w:pos="9180" w:leader="none"/>
        </w:tabs>
        <w:suppressAutoHyphens w:val="true"/>
        <w:jc w:val="both"/>
        <w:rPr>
          <w:spacing w:val="-2"/>
        </w:rPr>
      </w:pPr>
      <w:r>
        <w:rPr>
          <w:spacing w:val="-2"/>
        </w:rPr>
      </w:r>
    </w:p>
    <w:p>
      <w:pPr>
        <w:pStyle w:val="Normal"/>
        <w:keepNext w:val="true"/>
        <w:keepLines/>
        <w:tabs>
          <w:tab w:val="clear" w:pos="720"/>
          <w:tab w:val="left" w:pos="5040" w:leader="none"/>
          <w:tab w:val="left" w:pos="9900" w:leader="none"/>
        </w:tabs>
        <w:suppressAutoHyphens w:val="true"/>
        <w:spacing w:before="120" w:after="0"/>
        <w:jc w:val="both"/>
        <w:rPr>
          <w:spacing w:val="-2"/>
        </w:rPr>
      </w:pPr>
      <w:r>
        <w:rPr>
          <w:spacing w:val="-2"/>
        </w:rPr>
        <w:tab/>
        <w:t>By:</w:t>
      </w:r>
      <w:r>
        <w:rPr>
          <w:spacing w:val="-2"/>
          <w:u w:val="single"/>
        </w:rPr>
        <w:tab/>
      </w:r>
    </w:p>
    <w:p>
      <w:pPr>
        <w:pStyle w:val="Normal"/>
        <w:keepNext w:val="true"/>
        <w:keepLines/>
        <w:tabs>
          <w:tab w:val="clear" w:pos="720"/>
          <w:tab w:val="left" w:pos="-1440" w:leader="none"/>
          <w:tab w:val="left" w:pos="-720" w:leader="none"/>
          <w:tab w:val="left" w:pos="5040" w:leader="none"/>
          <w:tab w:val="left" w:pos="9900" w:leader="none"/>
        </w:tabs>
        <w:suppressAutoHyphens w:val="true"/>
        <w:spacing w:before="120" w:after="120"/>
        <w:jc w:val="both"/>
        <w:rPr>
          <w:spacing w:val="-2"/>
        </w:rPr>
      </w:pPr>
      <w:r>
        <w:rPr>
          <w:spacing w:val="-2"/>
        </w:rPr>
        <w:tab/>
        <w:t>Name:</w:t>
      </w:r>
      <w:r>
        <w:rPr>
          <w:spacing w:val="-2"/>
          <w:u w:val="single"/>
        </w:rPr>
        <w:tab/>
      </w:r>
    </w:p>
    <w:p>
      <w:pPr>
        <w:pStyle w:val="Normal"/>
        <w:tabs>
          <w:tab w:val="clear" w:pos="720"/>
          <w:tab w:val="left" w:pos="5040" w:leader="none"/>
          <w:tab w:val="left" w:pos="9900" w:leader="none"/>
        </w:tabs>
        <w:jc w:val="both"/>
        <w:rPr>
          <w:spacing w:val="-2"/>
        </w:rPr>
      </w:pPr>
      <w:r>
        <w:rPr>
          <w:spacing w:val="-2"/>
        </w:rPr>
        <w:tab/>
        <w:t>Title:</w:t>
      </w:r>
      <w:r>
        <w:rPr>
          <w:spacing w:val="-2"/>
          <w:u w:val="single"/>
        </w:rPr>
        <w:tab/>
      </w:r>
    </w:p>
    <w:p>
      <w:pPr>
        <w:pStyle w:val="Normal"/>
        <w:jc w:val="both"/>
        <w:rPr>
          <w:spacing w:val="-2"/>
        </w:rPr>
      </w:pPr>
      <w:r>
        <w:rPr>
          <w:spacing w:val="-2"/>
        </w:rPr>
      </w:r>
    </w:p>
    <w:p>
      <w:pPr>
        <w:pStyle w:val="Heading"/>
        <w:spacing w:before="0" w:after="0"/>
        <w:rPr/>
      </w:pPr>
      <w:r>
        <w:rPr/>
      </w:r>
    </w:p>
    <w:p>
      <w:pPr>
        <w:pStyle w:val="Normal"/>
        <w:rPr/>
      </w:pPr>
      <w:r>
        <w:rPr/>
      </w:r>
    </w:p>
    <w:sectPr>
      <w:footerReference w:type="default" r:id="rId3"/>
      <w:footerReference w:type="first" r:id="rId4"/>
      <w:footnotePr>
        <w:numFmt w:val="decimal"/>
      </w:footnotePr>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rStyle w:val="PageNumber"/>
        <w:sz w:val="18"/>
      </w:rPr>
    </w:pPr>
    <w:r>
      <w:rPr/>
      <w:tab/>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40</w:t>
    </w:r>
    <w:r>
      <w:rPr>
        <w:rStyle w:val="PageNumber"/>
        <w:sz w:val="18"/>
      </w:rPr>
      <w:fldChar w:fldCharType="end"/>
    </w:r>
  </w:p>
  <w:p>
    <w:pPr>
      <w:pStyle w:val="Footer"/>
      <w:rPr>
        <w:rStyle w:val="PageNumber"/>
        <w:sz w:val="18"/>
      </w:rPr>
    </w:pPr>
    <w:r>
      <w:rPr/>
    </w:r>
  </w:p>
  <w:p>
    <w:pPr>
      <w:pStyle w:val="Footer"/>
      <w:jc w:val="center"/>
      <w:rPr/>
    </w:pPr>
    <w:r>
      <w:rPr>
        <w:rStyle w:val="PageNumber"/>
        <w:sz w:val="16"/>
      </w:rPr>
      <w:t>Version 2.1 (modified 3/3/00)</w:t>
    </w:r>
  </w:p>
  <w:p>
    <w:pPr>
      <w:pStyle w:val="Footer"/>
      <w:jc w:val="center"/>
      <w:rPr>
        <w:sz w:val="16"/>
      </w:rPr>
    </w:pPr>
    <w:r>
      <w:rPr>
        <w:rStyle w:val="PageNumber"/>
        <w:sz w:val="16"/>
      </w:rPr>
      <w:t>©COPYRIGHT 2000 by the Edison Electric Institute and National Energy Marketers Association</w:t>
    </w:r>
  </w:p>
  <w:p>
    <w:pPr>
      <w:pStyle w:val="Footer"/>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rStyle w:val="PageNumber"/>
        <w:sz w:val="18"/>
      </w:rPr>
    </w:pPr>
    <w:r>
      <w:rPr/>
      <w:tab/>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43</w:t>
    </w:r>
    <w:r>
      <w:rPr>
        <w:rStyle w:val="PageNumber"/>
        <w:sz w:val="18"/>
      </w:rPr>
      <w:fldChar w:fldCharType="end"/>
    </w:r>
  </w:p>
  <w:p>
    <w:pPr>
      <w:pStyle w:val="Footer"/>
      <w:rPr>
        <w:rStyle w:val="PageNumber"/>
        <w:sz w:val="18"/>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120"/>
        <w:ind w:hanging="360" w:start="360" w:end="0"/>
        <w:rPr/>
      </w:pPr>
      <w:r>
        <w:rPr>
          <w:rStyle w:val="FootnoteCharacters"/>
        </w:rPr>
        <w:footnoteRef/>
      </w:r>
      <w:r>
        <w:rPr/>
        <w:t xml:space="preserve"> </w:t>
      </w:r>
      <w:r>
        <w:rPr/>
        <w:tab/>
        <w:t>Cite the state enabling and other relevant statutes applicable to Governmental Entity or Public Power System.</w:t>
      </w:r>
    </w:p>
  </w:footnote>
  <w:footnote w:id="3">
    <w:p>
      <w:pPr>
        <w:pStyle w:val="FootnoteText"/>
        <w:spacing w:before="0" w:after="120"/>
        <w:ind w:hanging="360" w:start="360" w:end="0"/>
        <w:rPr/>
      </w:pPr>
      <w:r>
        <w:rPr>
          <w:rStyle w:val="FootnoteCharacters"/>
        </w:rPr>
        <w:footnoteRef/>
      </w:r>
      <w:r>
        <w:rPr/>
        <w:t xml:space="preserve"> </w:t>
      </w:r>
      <w:r>
        <w:rPr/>
        <w:tab/>
        <w:t>Insert relevant state for Governmental Entity or Public Power System.</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9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4"/>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sz w:val="24"/>
      <w:szCs w:val="20"/>
    </w:rPr>
  </w:style>
  <w:style w:type="paragraph" w:styleId="Heading2">
    <w:name w:val="heading 2"/>
    <w:basedOn w:val="Normal"/>
    <w:next w:val="BodyText"/>
    <w:qFormat/>
    <w:pPr>
      <w:numPr>
        <w:ilvl w:val="1"/>
        <w:numId w:val="1"/>
      </w:numPr>
      <w:tabs>
        <w:tab w:val="clear" w:pos="720"/>
      </w:tabs>
      <w:spacing w:before="0" w:after="240"/>
      <w:jc w:val="both"/>
      <w:outlineLvl w:val="1"/>
    </w:pPr>
    <w:rPr>
      <w:sz w:val="24"/>
      <w:szCs w:val="20"/>
    </w:rPr>
  </w:style>
  <w:style w:type="paragraph" w:styleId="Heading3">
    <w:name w:val="heading 3"/>
    <w:basedOn w:val="Normal"/>
    <w:next w:val="BodyText"/>
    <w:qFormat/>
    <w:pPr>
      <w:numPr>
        <w:ilvl w:val="2"/>
        <w:numId w:val="1"/>
      </w:numPr>
      <w:spacing w:before="0" w:after="240"/>
      <w:jc w:val="both"/>
      <w:outlineLvl w:val="2"/>
    </w:pPr>
    <w:rPr>
      <w:sz w:val="24"/>
      <w:szCs w:val="20"/>
    </w:rPr>
  </w:style>
  <w:style w:type="paragraph" w:styleId="Heading4">
    <w:name w:val="heading 4"/>
    <w:basedOn w:val="Normal"/>
    <w:next w:val="BodyText"/>
    <w:qFormat/>
    <w:pPr>
      <w:numPr>
        <w:ilvl w:val="3"/>
        <w:numId w:val="1"/>
      </w:numPr>
      <w:spacing w:before="0" w:after="240"/>
      <w:jc w:val="both"/>
      <w:outlineLvl w:val="3"/>
    </w:pPr>
    <w:rPr>
      <w:sz w:val="24"/>
      <w:szCs w:val="20"/>
    </w:rPr>
  </w:style>
  <w:style w:type="paragraph" w:styleId="Heading5">
    <w:name w:val="heading 5"/>
    <w:basedOn w:val="Normal"/>
    <w:next w:val="BodyText"/>
    <w:qFormat/>
    <w:pPr>
      <w:numPr>
        <w:ilvl w:val="4"/>
        <w:numId w:val="1"/>
      </w:numPr>
      <w:spacing w:before="0" w:after="240"/>
      <w:jc w:val="both"/>
      <w:outlineLvl w:val="4"/>
    </w:pPr>
    <w:rPr>
      <w:sz w:val="24"/>
      <w:szCs w:val="20"/>
    </w:rPr>
  </w:style>
  <w:style w:type="paragraph" w:styleId="Heading6">
    <w:name w:val="heading 6"/>
    <w:basedOn w:val="Normal"/>
    <w:next w:val="BodyText"/>
    <w:qFormat/>
    <w:pPr>
      <w:numPr>
        <w:ilvl w:val="5"/>
        <w:numId w:val="1"/>
      </w:numPr>
      <w:spacing w:before="0" w:after="220"/>
      <w:outlineLvl w:val="5"/>
    </w:pPr>
    <w:rPr>
      <w:i/>
      <w:szCs w:val="20"/>
    </w:rPr>
  </w:style>
  <w:style w:type="paragraph" w:styleId="Heading7">
    <w:name w:val="heading 7"/>
    <w:basedOn w:val="Normal"/>
    <w:next w:val="BodyText"/>
    <w:qFormat/>
    <w:pPr>
      <w:numPr>
        <w:ilvl w:val="6"/>
        <w:numId w:val="1"/>
      </w:numPr>
      <w:spacing w:before="0" w:after="200"/>
      <w:outlineLvl w:val="6"/>
    </w:pPr>
    <w:rPr>
      <w:sz w:val="20"/>
      <w:szCs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b/>
      <w:sz w:val="22"/>
    </w:rPr>
  </w:style>
  <w:style w:type="character" w:styleId="WW8Num13z0">
    <w:name w:val="WW8Num13z0"/>
    <w:qFormat/>
    <w:rPr>
      <w:b/>
      <w:sz w:val="22"/>
    </w:rPr>
  </w:style>
  <w:style w:type="character" w:styleId="WW8Num14z0">
    <w:name w:val="WW8Num14z0"/>
    <w:qFormat/>
    <w:rPr>
      <w:b w:val="false"/>
    </w:rPr>
  </w:style>
  <w:style w:type="character" w:styleId="WW8Num16z0">
    <w:name w:val="WW8Num16z0"/>
    <w:qFormat/>
    <w:rPr/>
  </w:style>
  <w:style w:type="character" w:styleId="WW8Num16z1">
    <w:name w:val="WW8Num16z1"/>
    <w:qFormat/>
    <w:rPr>
      <w:rFonts w:ascii="Times New Roman" w:hAnsi="Times New Roman" w:cs="Times New Roman"/>
      <w:b w:val="false"/>
      <w:i w:val="false"/>
      <w:sz w:val="24"/>
      <w:u w:val="none"/>
    </w:rPr>
  </w:style>
  <w:style w:type="character" w:styleId="WW8Num16z2">
    <w:name w:val="WW8Num16z2"/>
    <w:qFormat/>
    <w:rPr>
      <w:rFonts w:ascii="Times New Roman" w:hAnsi="Times New Roman" w:cs="Times New Roman"/>
      <w:b w:val="false"/>
      <w:i w:val="false"/>
      <w:sz w:val="24"/>
    </w:rPr>
  </w:style>
  <w:style w:type="character" w:styleId="WW8Num16z5">
    <w:name w:val="WW8Num16z5"/>
    <w:qFormat/>
    <w:rPr>
      <w:rFonts w:ascii="Times New Roman" w:hAnsi="Times New Roman" w:cs="Times New Roman"/>
      <w:b/>
      <w:i w:val="false"/>
      <w:sz w:val="24"/>
      <w:u w:val="none"/>
    </w:rPr>
  </w:style>
  <w:style w:type="character" w:styleId="WW8Num19z0">
    <w:name w:val="WW8Num19z0"/>
    <w:qFormat/>
    <w:rPr/>
  </w:style>
  <w:style w:type="character" w:styleId="WW8Num19z1">
    <w:name w:val="WW8Num19z1"/>
    <w:qFormat/>
    <w:rPr>
      <w:rFonts w:ascii="Times New Roman" w:hAnsi="Times New Roman" w:cs="Times New Roman"/>
      <w:b w:val="false"/>
      <w:i w:val="false"/>
      <w:sz w:val="24"/>
      <w:u w:val="none"/>
    </w:rPr>
  </w:style>
  <w:style w:type="character" w:styleId="WW8Num19z2">
    <w:name w:val="WW8Num19z2"/>
    <w:qFormat/>
    <w:rPr>
      <w:rFonts w:ascii="Times New Roman" w:hAnsi="Times New Roman" w:cs="Times New Roman"/>
      <w:b w:val="false"/>
      <w:i w:val="false"/>
      <w:sz w:val="24"/>
    </w:rPr>
  </w:style>
  <w:style w:type="character" w:styleId="WW8Num19z5">
    <w:name w:val="WW8Num19z5"/>
    <w:qFormat/>
    <w:rPr>
      <w:rFonts w:ascii="Times New Roman" w:hAnsi="Times New Roman" w:cs="Times New Roman"/>
      <w:b/>
      <w:i w:val="false"/>
      <w:sz w:val="24"/>
      <w:u w:val="none"/>
    </w:rPr>
  </w:style>
  <w:style w:type="character" w:styleId="WW8Num20z0">
    <w:name w:val="WW8Num20z0"/>
    <w:qFormat/>
    <w:rPr>
      <w:rFonts w:ascii="Times New Roman" w:hAnsi="Times New Roman" w:cs="Times New Roman"/>
      <w:b/>
      <w:i w:val="false"/>
      <w:caps/>
      <w:sz w:val="24"/>
    </w:rPr>
  </w:style>
  <w:style w:type="character" w:styleId="WW8Num20z1">
    <w:name w:val="WW8Num20z1"/>
    <w:qFormat/>
    <w:rPr>
      <w:rFonts w:ascii="Times New Roman" w:hAnsi="Times New Roman" w:cs="Times New Roman"/>
      <w:b w:val="false"/>
      <w:i w:val="false"/>
      <w:sz w:val="24"/>
      <w:u w:val="none"/>
    </w:rPr>
  </w:style>
  <w:style w:type="character" w:styleId="WW8Num20z2">
    <w:name w:val="WW8Num20z2"/>
    <w:qFormat/>
    <w:rPr>
      <w:rFonts w:ascii="Times New Roman" w:hAnsi="Times New Roman" w:cs="Times New Roman"/>
      <w:b w:val="false"/>
      <w:i w:val="false"/>
      <w:sz w:val="24"/>
    </w:rPr>
  </w:style>
  <w:style w:type="character" w:styleId="WW8Num20z5">
    <w:name w:val="WW8Num20z5"/>
    <w:qFormat/>
    <w:rPr>
      <w:rFonts w:ascii="Times New Roman" w:hAnsi="Times New Roman" w:cs="Times New Roman"/>
      <w:b/>
      <w:i w:val="false"/>
      <w:sz w:val="24"/>
      <w:u w:val="none"/>
    </w:rPr>
  </w:style>
  <w:style w:type="character" w:styleId="WW8Num21z0">
    <w:name w:val="WW8Num21z0"/>
    <w:qFormat/>
    <w:rPr>
      <w:b w:val="false"/>
    </w:rPr>
  </w:style>
  <w:style w:type="character" w:styleId="WW8Num23z0">
    <w:name w:val="WW8Num23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Strong">
    <w:name w:val="Strong"/>
    <w:basedOn w:val="DefaultParagraphFont"/>
    <w:qFormat/>
    <w:rPr>
      <w:b/>
      <w:bCs/>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spacing w:before="0" w:after="280"/>
      <w:jc w:val="center"/>
      <w:outlineLvl w:val="0"/>
    </w:pPr>
    <w:rPr>
      <w:b/>
      <w:kern w:val="2"/>
      <w:sz w:val="24"/>
      <w:szCs w:val="20"/>
    </w:rPr>
  </w:style>
  <w:style w:type="paragraph" w:styleId="BodyText">
    <w:name w:val="Body Text"/>
    <w:basedOn w:val="Normal"/>
    <w:pPr>
      <w:spacing w:before="0" w:after="120"/>
    </w:pPr>
    <w:rPr>
      <w:sz w:val="24"/>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FirstIndent">
    <w:name w:val="Body Text First Indent"/>
    <w:basedOn w:val="Normal"/>
    <w:qFormat/>
    <w:pPr>
      <w:spacing w:before="0" w:after="240"/>
      <w:ind w:firstLine="720" w:start="0" w:end="0"/>
      <w:jc w:val="both"/>
    </w:pPr>
    <w:rPr>
      <w:sz w:val="24"/>
      <w:szCs w:val="20"/>
    </w:rPr>
  </w:style>
  <w:style w:type="paragraph" w:styleId="Title-Right">
    <w:name w:val="Title-Right"/>
    <w:basedOn w:val="Normal"/>
    <w:qFormat/>
    <w:pPr>
      <w:spacing w:before="0" w:after="240"/>
      <w:jc w:val="end"/>
    </w:pPr>
    <w:rPr>
      <w:b/>
      <w:sz w:val="24"/>
      <w:szCs w:val="20"/>
    </w:rPr>
  </w:style>
  <w:style w:type="paragraph" w:styleId="BlockText">
    <w:name w:val="Block Text"/>
    <w:basedOn w:val="Normal"/>
    <w:qFormat/>
    <w:pPr>
      <w:spacing w:before="0" w:after="240"/>
      <w:jc w:val="both"/>
    </w:pPr>
    <w:rPr>
      <w:sz w:val="24"/>
      <w:szCs w:val="20"/>
    </w:rPr>
  </w:style>
  <w:style w:type="paragraph" w:styleId="ListBullet">
    <w:name w:val="List Bullet"/>
    <w:basedOn w:val="Normal"/>
    <w:qFormat/>
    <w:pPr>
      <w:numPr>
        <w:ilvl w:val="0"/>
        <w:numId w:val="11"/>
      </w:numPr>
      <w:tabs>
        <w:tab w:val="clear" w:pos="720"/>
      </w:tabs>
    </w:pPr>
    <w:rPr>
      <w:sz w:val="24"/>
      <w:szCs w:val="20"/>
    </w:rPr>
  </w:style>
  <w:style w:type="paragraph" w:styleId="ListBullet2">
    <w:name w:val="List Bullet 2"/>
    <w:basedOn w:val="Normal"/>
    <w:qFormat/>
    <w:pPr>
      <w:numPr>
        <w:ilvl w:val="0"/>
        <w:numId w:val="9"/>
      </w:numPr>
      <w:tabs>
        <w:tab w:val="clear" w:pos="720"/>
      </w:tabs>
    </w:pPr>
    <w:rPr>
      <w:sz w:val="24"/>
      <w:szCs w:val="20"/>
    </w:rPr>
  </w:style>
  <w:style w:type="paragraph" w:styleId="ListBullet3">
    <w:name w:val="List Bullet 3"/>
    <w:basedOn w:val="Normal"/>
    <w:qFormat/>
    <w:pPr>
      <w:numPr>
        <w:ilvl w:val="0"/>
        <w:numId w:val="8"/>
      </w:numPr>
      <w:tabs>
        <w:tab w:val="clear" w:pos="720"/>
      </w:tabs>
    </w:pPr>
    <w:rPr>
      <w:sz w:val="24"/>
      <w:szCs w:val="20"/>
    </w:rPr>
  </w:style>
  <w:style w:type="paragraph" w:styleId="ListBullet4">
    <w:name w:val="List Bullet 4"/>
    <w:basedOn w:val="Normal"/>
    <w:qFormat/>
    <w:pPr>
      <w:numPr>
        <w:ilvl w:val="0"/>
        <w:numId w:val="7"/>
      </w:numPr>
      <w:tabs>
        <w:tab w:val="clear" w:pos="720"/>
      </w:tabs>
    </w:pPr>
    <w:rPr>
      <w:sz w:val="24"/>
      <w:szCs w:val="20"/>
    </w:rPr>
  </w:style>
  <w:style w:type="paragraph" w:styleId="ListBullet5">
    <w:name w:val="List Bullet 5"/>
    <w:basedOn w:val="Normal"/>
    <w:qFormat/>
    <w:pPr>
      <w:numPr>
        <w:ilvl w:val="0"/>
        <w:numId w:val="6"/>
      </w:numPr>
      <w:tabs>
        <w:tab w:val="clear" w:pos="720"/>
      </w:tabs>
    </w:pPr>
    <w:rPr>
      <w:sz w:val="24"/>
      <w:szCs w:val="20"/>
    </w:rPr>
  </w:style>
  <w:style w:type="paragraph" w:styleId="ListNumber">
    <w:name w:val="List Number"/>
    <w:basedOn w:val="Normal"/>
    <w:qFormat/>
    <w:pPr>
      <w:numPr>
        <w:ilvl w:val="0"/>
        <w:numId w:val="10"/>
      </w:numPr>
      <w:tabs>
        <w:tab w:val="clear" w:pos="720"/>
      </w:tabs>
    </w:pPr>
    <w:rPr>
      <w:sz w:val="24"/>
      <w:szCs w:val="20"/>
    </w:rPr>
  </w:style>
  <w:style w:type="paragraph" w:styleId="ListNumber2">
    <w:name w:val="List Number 2"/>
    <w:basedOn w:val="Normal"/>
    <w:qFormat/>
    <w:pPr>
      <w:numPr>
        <w:ilvl w:val="0"/>
        <w:numId w:val="5"/>
      </w:numPr>
      <w:tabs>
        <w:tab w:val="clear" w:pos="720"/>
      </w:tabs>
    </w:pPr>
    <w:rPr>
      <w:sz w:val="24"/>
      <w:szCs w:val="20"/>
    </w:rPr>
  </w:style>
  <w:style w:type="paragraph" w:styleId="ListNumber3">
    <w:name w:val="List Number 3"/>
    <w:basedOn w:val="Normal"/>
    <w:qFormat/>
    <w:pPr>
      <w:numPr>
        <w:ilvl w:val="0"/>
        <w:numId w:val="4"/>
      </w:numPr>
      <w:tabs>
        <w:tab w:val="clear" w:pos="720"/>
      </w:tabs>
    </w:pPr>
    <w:rPr>
      <w:sz w:val="24"/>
      <w:szCs w:val="20"/>
    </w:rPr>
  </w:style>
  <w:style w:type="paragraph" w:styleId="ListNumber4">
    <w:name w:val="List Number 4"/>
    <w:basedOn w:val="Normal"/>
    <w:qFormat/>
    <w:pPr>
      <w:numPr>
        <w:ilvl w:val="0"/>
        <w:numId w:val="3"/>
      </w:numPr>
      <w:tabs>
        <w:tab w:val="clear" w:pos="720"/>
      </w:tabs>
    </w:pPr>
    <w:rPr>
      <w:sz w:val="24"/>
      <w:szCs w:val="20"/>
    </w:rPr>
  </w:style>
  <w:style w:type="paragraph" w:styleId="ListNumber5">
    <w:name w:val="List Number 5"/>
    <w:basedOn w:val="Normal"/>
    <w:qFormat/>
    <w:pPr>
      <w:numPr>
        <w:ilvl w:val="0"/>
        <w:numId w:val="2"/>
      </w:numPr>
      <w:tabs>
        <w:tab w:val="clear" w:pos="720"/>
      </w:tabs>
    </w:pPr>
    <w:rPr>
      <w:sz w:val="24"/>
      <w:szCs w:val="20"/>
    </w:rPr>
  </w:style>
  <w:style w:type="paragraph" w:styleId="BlockTextBold">
    <w:name w:val="BlockTextBold"/>
    <w:basedOn w:val="Normal"/>
    <w:qFormat/>
    <w:pPr>
      <w:spacing w:before="0" w:after="240"/>
      <w:jc w:val="both"/>
    </w:pPr>
    <w:rPr>
      <w:b/>
      <w:sz w:val="24"/>
      <w:szCs w:val="20"/>
    </w:rPr>
  </w:style>
  <w:style w:type="paragraph" w:styleId="Quote">
    <w:name w:val="Quote"/>
    <w:basedOn w:val="Normal"/>
    <w:qFormat/>
    <w:pPr>
      <w:spacing w:before="0" w:after="240"/>
      <w:ind w:hanging="0" w:start="1440" w:end="720"/>
      <w:jc w:val="both"/>
    </w:pPr>
    <w:rPr>
      <w:sz w:val="24"/>
      <w:szCs w:val="20"/>
    </w:rPr>
  </w:style>
  <w:style w:type="paragraph" w:styleId="BodyTextIndent2">
    <w:name w:val="BodyTextIndent2"/>
    <w:basedOn w:val="Normal"/>
    <w:qFormat/>
    <w:pPr>
      <w:spacing w:before="0" w:after="240"/>
      <w:ind w:firstLine="720" w:start="1440" w:end="0"/>
    </w:pPr>
    <w:rPr>
      <w:sz w:val="24"/>
      <w:szCs w:val="20"/>
    </w:rPr>
  </w:style>
  <w:style w:type="paragraph" w:styleId="blockwline">
    <w:name w:val="blockwline"/>
    <w:basedOn w:val="Normal"/>
    <w:qFormat/>
    <w:pPr>
      <w:tabs>
        <w:tab w:val="clear" w:pos="720"/>
        <w:tab w:val="right" w:pos="9360" w:leader="none"/>
      </w:tabs>
      <w:spacing w:before="0" w:after="120"/>
    </w:pPr>
    <w:rPr>
      <w:sz w:val="24"/>
      <w:szCs w:val="20"/>
    </w:rPr>
  </w:style>
  <w:style w:type="paragraph" w:styleId="CoverTitle">
    <w:name w:val="CoverTitle"/>
    <w:basedOn w:val="Normal"/>
    <w:qFormat/>
    <w:pPr>
      <w:jc w:val="center"/>
    </w:pPr>
    <w:rPr>
      <w:rFonts w:ascii="Arial Narrow" w:hAnsi="Arial Narrow" w:cs="Arial Narrow"/>
      <w:spacing w:val="-20"/>
      <w:sz w:val="144"/>
      <w:szCs w:val="20"/>
    </w:rPr>
  </w:style>
  <w:style w:type="paragraph" w:styleId="QuoteFirstIndent">
    <w:name w:val="QuoteFirstIndent"/>
    <w:basedOn w:val="Normal"/>
    <w:qFormat/>
    <w:pPr>
      <w:spacing w:before="0" w:after="240"/>
      <w:ind w:firstLine="720" w:start="1440" w:end="720"/>
      <w:jc w:val="both"/>
    </w:pPr>
    <w:rPr>
      <w:sz w:val="24"/>
      <w:szCs w:val="20"/>
    </w:rPr>
  </w:style>
  <w:style w:type="paragraph" w:styleId="blockindentwline">
    <w:name w:val="blockindentwline"/>
    <w:basedOn w:val="Normal"/>
    <w:qFormat/>
    <w:pPr>
      <w:tabs>
        <w:tab w:val="clear" w:pos="720"/>
        <w:tab w:val="right" w:pos="9360" w:leader="none"/>
      </w:tabs>
      <w:spacing w:before="0" w:after="120"/>
      <w:ind w:hanging="0" w:start="720" w:end="0"/>
    </w:pPr>
    <w:rPr>
      <w:sz w:val="24"/>
      <w:szCs w:val="20"/>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z w:val="24"/>
      <w:szCs w:val="20"/>
    </w:rPr>
  </w:style>
  <w:style w:type="paragraph" w:styleId="coverbody">
    <w:name w:val="coverbody"/>
    <w:basedOn w:val="Normal"/>
    <w:qFormat/>
    <w:pPr>
      <w:spacing w:before="0" w:after="200"/>
      <w:jc w:val="both"/>
    </w:pPr>
    <w:rPr>
      <w:sz w:val="20"/>
      <w:szCs w:val="20"/>
    </w:rPr>
  </w:style>
  <w:style w:type="paragraph" w:styleId="Justified">
    <w:name w:val="Justified"/>
    <w:basedOn w:val="Normal"/>
    <w:next w:val="Heading2"/>
    <w:qFormat/>
    <w:pPr>
      <w:spacing w:before="0" w:after="120"/>
    </w:pP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BodyTextIndent">
    <w:name w:val="Body Text Indent"/>
    <w:basedOn w:val="Normal"/>
    <w:next w:val="Normal"/>
    <w:pPr>
      <w:spacing w:before="0" w:after="240"/>
      <w:ind w:firstLine="720" w:start="720" w:end="0"/>
      <w:jc w:val="both"/>
    </w:pPr>
    <w:rPr>
      <w:sz w:val="24"/>
      <w:szCs w:val="20"/>
    </w:rPr>
  </w:style>
  <w:style w:type="paragraph" w:styleId="FootnoteText">
    <w:name w:val="footnote text"/>
    <w:basedOn w:val="Normal"/>
    <w:pPr>
      <w:spacing w:before="0" w:after="120"/>
      <w:ind w:hanging="360" w:start="360" w:end="0"/>
    </w:pPr>
    <w:rPr>
      <w:sz w:val="24"/>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 w:val="24"/>
      <w:szCs w:val="20"/>
    </w:rPr>
  </w:style>
  <w:style w:type="paragraph" w:styleId="Header">
    <w:name w:val="head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2000-06-15T13:30:00Z</dcterms:created>
  <dc:creator>bwhiteh</dc:creator>
  <dc:description/>
  <dc:language>en-CA</dc:language>
  <cp:lastModifiedBy>bwhiteh</cp:lastModifiedBy>
  <cp:lastPrinted>2000-06-28T10:08:00Z</cp:lastPrinted>
  <dcterms:modified xsi:type="dcterms:W3CDTF">2000-06-28T12:46:00Z</dcterms:modified>
  <cp:revision>6</cp:revision>
  <dc:subject/>
  <dc:title>SCHEDULE M</dc:title>
</cp:coreProperties>
</file>