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spacing w:before="0" w:after="120"/>
        <w:jc w:val="center"/>
        <w:rPr>
          <w:b/>
        </w:rPr>
      </w:pPr>
      <w:r>
        <w:rPr>
          <w:b/>
        </w:rPr>
        <w:t>RIDERS</w:t>
      </w:r>
    </w:p>
    <w:p>
      <w:pPr>
        <w:pStyle w:val="Normal"/>
        <w:spacing w:before="0" w:after="120"/>
        <w:jc w:val="center"/>
        <w:rPr>
          <w:b/>
        </w:rPr>
      </w:pPr>
      <w:r>
        <w:rPr>
          <w:b/>
        </w:rPr>
        <w:t>For use with EEI Master version 2.1 (modified 3/3/00)</w:t>
      </w:r>
    </w:p>
    <w:p>
      <w:pPr>
        <w:pStyle w:val="Normal"/>
        <w:spacing w:before="0" w:after="120"/>
        <w:rPr/>
      </w:pPr>
      <w:r>
        <w:rPr>
          <w:b/>
          <w:caps/>
        </w:rPr>
        <w:t>1.</w:t>
        <w:tab/>
        <w:t xml:space="preserve">Rider </w:t>
      </w:r>
      <w:r>
        <w:rPr>
          <w:b/>
          <w:caps/>
          <w:u w:val="single"/>
        </w:rPr>
        <w:t>Agreement Governs referenced prior Transactions</w:t>
      </w:r>
    </w:p>
    <w:p>
      <w:pPr>
        <w:pStyle w:val="Justified"/>
        <w:rPr>
          <w:sz w:val="20"/>
        </w:rPr>
      </w:pPr>
      <w:r>
        <w:rPr>
          <w:sz w:val="20"/>
        </w:rPr>
        <w:t>If transactions under previously executed enabling agreements or long form confirmations remain to flow or be financially settled with a counterparty with whom an EEI Master is being negotiated, and the counterparty accepts EPMI’s requirement that such transactions be brought under the Master’s terms, then ADD THE FOLLOWING AS A LETTERED ITEM IN THE COVER SHEET’S “OTHER CHANGES” SECTION, UNDER “Part 1, General Terms And Conditions,” RELETTERING THE REMAINING NUMBERED ITEMS :</w:t>
      </w:r>
    </w:p>
    <w:p>
      <w:pPr>
        <w:pStyle w:val="Heading2"/>
        <w:tabs>
          <w:tab w:val="clear" w:pos="720"/>
          <w:tab w:val="left" w:pos="360" w:leader="none"/>
        </w:tabs>
        <w:ind w:hanging="0" w:start="0"/>
        <w:rPr/>
      </w:pPr>
      <w:r>
        <w:rPr>
          <w:sz w:val="20"/>
        </w:rPr>
        <w:t xml:space="preserve">(b)   </w:t>
      </w:r>
      <w:r>
        <w:rPr>
          <w:b/>
          <w:bCs/>
          <w:sz w:val="20"/>
        </w:rPr>
        <w:t>Prior Transactions.</w:t>
      </w:r>
      <w:r>
        <w:rPr>
          <w:sz w:val="20"/>
        </w:rPr>
        <w:t xml:space="preserve">  The following is added as a separate second paragraph of Section 2.2:</w:t>
      </w:r>
    </w:p>
    <w:p>
      <w:pPr>
        <w:pStyle w:val="Normal"/>
        <w:spacing w:before="0" w:after="120"/>
        <w:jc w:val="both"/>
        <w:rPr/>
      </w:pPr>
      <w:r>
        <w:rPr/>
        <w:t xml:space="preserve">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Normal"/>
        <w:spacing w:before="0" w:after="120"/>
        <w:jc w:val="both"/>
        <w:rPr/>
      </w:pPr>
      <w:r>
        <w:rPr/>
      </w:r>
    </w:p>
    <w:p>
      <w:pPr>
        <w:pStyle w:val="Normal"/>
        <w:spacing w:before="0" w:after="120"/>
        <w:rPr/>
      </w:pPr>
      <w:r>
        <w:rPr>
          <w:b/>
          <w:caps/>
        </w:rPr>
        <w:t xml:space="preserve">2.           Rider </w:t>
      </w:r>
      <w:r>
        <w:rPr>
          <w:b/>
          <w:caps/>
          <w:u w:val="single"/>
        </w:rPr>
        <w:t>dOWNGRADE eVENT</w:t>
      </w:r>
      <w:r>
        <w:rPr>
          <w:b/>
          <w:caps/>
        </w:rPr>
        <w:t xml:space="preserve">:  </w:t>
      </w:r>
    </w:p>
    <w:p>
      <w:pPr>
        <w:pStyle w:val="Normal"/>
        <w:numPr>
          <w:ilvl w:val="0"/>
          <w:numId w:val="3"/>
        </w:numPr>
        <w:spacing w:before="0" w:after="120"/>
        <w:rPr>
          <w:b/>
          <w:caps/>
        </w:rPr>
      </w:pPr>
      <w:r>
        <w:rPr>
          <w:b/>
          <w:caps/>
        </w:rPr>
        <w:t>CHECK THE BOX IDENTIFIED AS “OTHER” IN SECTION 8.1 (</w:t>
      </w:r>
      <w:r>
        <w:rPr>
          <w:b/>
        </w:rPr>
        <w:t>d</w:t>
      </w:r>
      <w:r>
        <w:rPr>
          <w:b/>
          <w:caps/>
        </w:rPr>
        <w:t xml:space="preserve">),  </w:t>
      </w:r>
    </w:p>
    <w:p>
      <w:pPr>
        <w:pStyle w:val="Normal"/>
        <w:numPr>
          <w:ilvl w:val="0"/>
          <w:numId w:val="4"/>
        </w:numPr>
        <w:spacing w:before="0" w:after="120"/>
        <w:rPr>
          <w:b/>
          <w:caps/>
        </w:rPr>
      </w:pPr>
      <w:r>
        <w:rPr>
          <w:b/>
          <w:caps/>
        </w:rPr>
        <w:t>select From below per Credit Memo AND Add THE PERTINENT Text from the following list in the Blank after “Specify” on the cover sheet:</w:t>
      </w:r>
    </w:p>
    <w:p>
      <w:pPr>
        <w:pStyle w:val="Normal"/>
        <w:spacing w:before="0" w:after="120"/>
        <w:rPr>
          <w:b/>
          <w:caps/>
        </w:rPr>
      </w:pPr>
      <w:r>
        <w:rPr>
          <w:b/>
          <w:caps/>
        </w:rPr>
      </w:r>
    </w:p>
    <w:p>
      <w:pPr>
        <w:pStyle w:val="Justified"/>
        <w:rPr/>
      </w:pPr>
      <w:r>
        <w:rPr>
          <w:sz w:val="20"/>
        </w:rPr>
        <w:t xml:space="preserve">It shall be a Downgrade Event for Party B if, with respect to Party B, Party B [Party B’s Guarantor] shall have any of the following occur at any time:  (a) the ratio of its Funded Debt to its Net Worth is more than 1 to 1; or (b) its Net Worth falls below $____________.  </w:t>
      </w:r>
      <w:r>
        <w:rPr>
          <w:i/>
          <w:sz w:val="20"/>
        </w:rPr>
        <w:t>"</w:t>
      </w:r>
      <w:r>
        <w:rPr>
          <w:i/>
          <w:sz w:val="20"/>
          <w:u w:val="single"/>
        </w:rPr>
        <w:t>Funded Debt</w:t>
      </w:r>
      <w:r>
        <w:rPr>
          <w:sz w:val="20"/>
        </w:rPr>
        <w:t xml:space="preserve">" means, with respect to the specified entity, indebtedness of such entity that by its terms matures more than one year from the date at which any calculation of Funded Debt is made.  </w:t>
      </w:r>
      <w:r>
        <w:rPr>
          <w:i/>
          <w:sz w:val="20"/>
        </w:rPr>
        <w:t>"</w:t>
      </w:r>
      <w:r>
        <w:rPr>
          <w:i/>
          <w:sz w:val="20"/>
          <w:u w:val="single"/>
        </w:rPr>
        <w:t>Net Worth</w:t>
      </w:r>
      <w:r>
        <w:rPr>
          <w:sz w:val="20"/>
        </w:rPr>
        <w:t xml:space="preserve">" means, with respect to the specified entity, such entity's total assets (exclusive of intangible assets), </w:t>
      </w:r>
      <w:r>
        <w:rPr>
          <w:sz w:val="20"/>
          <w:u w:val="single"/>
        </w:rPr>
        <w:t>minus</w:t>
      </w:r>
      <w:r>
        <w:rPr>
          <w:sz w:val="20"/>
        </w:rPr>
        <w:t xml:space="preserve"> such entity's total liabilities, each as would be reflected on a balance sheet of the specified entity prepared in accordance with GAAP.</w:t>
      </w:r>
    </w:p>
    <w:p>
      <w:pPr>
        <w:pStyle w:val="Justified"/>
        <w:rPr>
          <w:sz w:val="20"/>
        </w:rPr>
      </w:pPr>
      <w:r>
        <w:rPr>
          <w:sz w:val="20"/>
        </w:rPr>
        <w:t>or</w:t>
      </w:r>
    </w:p>
    <w:p>
      <w:pPr>
        <w:pStyle w:val="Justified"/>
        <w:rPr/>
      </w:pPr>
      <w:r>
        <w:rPr>
          <w:sz w:val="20"/>
        </w:rPr>
        <w:t xml:space="preserve">It shall be a Downgrade Event for Party B if Party B </w:t>
      </w:r>
      <w:r>
        <w:rPr>
          <w:b/>
          <w:sz w:val="20"/>
        </w:rPr>
        <w:t>[</w:t>
      </w:r>
      <w:r>
        <w:rPr>
          <w:sz w:val="20"/>
        </w:rPr>
        <w:t>Party B’s Guarantor</w:t>
      </w:r>
      <w:r>
        <w:rPr>
          <w:b/>
          <w:sz w:val="20"/>
        </w:rPr>
        <w:t>]</w:t>
      </w:r>
      <w:r>
        <w:rPr>
          <w:sz w:val="20"/>
        </w:rPr>
        <w:t xml:space="preserve"> shall have a Current Ratio less than ____ to 1.00 at the end of any fiscal quarter. </w:t>
      </w:r>
      <w:r>
        <w:rPr>
          <w:i/>
          <w:sz w:val="20"/>
        </w:rPr>
        <w:t>"</w:t>
      </w:r>
      <w:r>
        <w:rPr>
          <w:i/>
          <w:sz w:val="20"/>
          <w:u w:val="single"/>
        </w:rPr>
        <w:t>Current Ratio</w:t>
      </w:r>
      <w:r>
        <w:rPr>
          <w:sz w:val="20"/>
        </w:rPr>
        <w:t>" means the ratio of current assets, exclusive of intangible assets and notes receivable, and current liabilities of the specified entity, each determined in accordance with GAAP.</w:t>
      </w:r>
    </w:p>
    <w:p>
      <w:pPr>
        <w:pStyle w:val="Justified"/>
        <w:rPr>
          <w:sz w:val="20"/>
        </w:rPr>
      </w:pPr>
      <w:r>
        <w:rPr>
          <w:sz w:val="20"/>
        </w:rPr>
        <w:t>or</w:t>
      </w:r>
    </w:p>
    <w:p>
      <w:pPr>
        <w:pStyle w:val="Justified"/>
        <w:rPr/>
      </w:pPr>
      <w:r>
        <w:rPr>
          <w:sz w:val="20"/>
        </w:rPr>
        <w:t xml:space="preserve">It shall be a Downgrade Event for Party B if Party B </w:t>
      </w:r>
      <w:r>
        <w:rPr>
          <w:b/>
          <w:sz w:val="20"/>
        </w:rPr>
        <w:t>[</w:t>
      </w:r>
      <w:r>
        <w:rPr>
          <w:sz w:val="20"/>
        </w:rPr>
        <w:t>Party B’s Guarantor</w:t>
      </w:r>
      <w:r>
        <w:rPr>
          <w:b/>
          <w:sz w:val="20"/>
        </w:rPr>
        <w:t>]</w:t>
      </w:r>
      <w:r>
        <w:rPr>
          <w:sz w:val="20"/>
        </w:rPr>
        <w:t xml:space="preserve"> shall have a Cash Flow Ratio less than 1.00 to 1.00 at the end of any fiscal quarter.</w:t>
      </w:r>
      <w:r>
        <w:rPr>
          <w:b/>
          <w:i/>
          <w:sz w:val="20"/>
        </w:rPr>
        <w:t xml:space="preserve"> </w:t>
      </w:r>
      <w:r>
        <w:rPr>
          <w:i/>
          <w:sz w:val="20"/>
        </w:rPr>
        <w:t>"</w:t>
      </w:r>
      <w:r>
        <w:rPr>
          <w:i/>
          <w:sz w:val="20"/>
          <w:u w:val="single"/>
        </w:rPr>
        <w:t>Cash Flow</w:t>
      </w:r>
      <w:r>
        <w:rPr>
          <w:i/>
          <w:sz w:val="20"/>
        </w:rPr>
        <w:t>"</w:t>
      </w:r>
      <w:r>
        <w:rPr>
          <w:sz w:val="20"/>
        </w:rPr>
        <w:t xml:space="preserve"> means, for any preceding twelve (12) month period, the sum (without duplication) of net income </w:t>
      </w:r>
      <w:r>
        <w:rPr>
          <w:sz w:val="20"/>
          <w:u w:val="single"/>
        </w:rPr>
        <w:t>plus</w:t>
      </w:r>
      <w:r>
        <w:rPr>
          <w:sz w:val="20"/>
        </w:rPr>
        <w:t xml:space="preserve"> depreciation, amortization, and other non-cash charges, to the extent deducted in determining net income, all as determined in accordance with GAAP. </w:t>
      </w:r>
      <w:r>
        <w:rPr>
          <w:i/>
          <w:sz w:val="20"/>
        </w:rPr>
        <w:t>"</w:t>
      </w:r>
      <w:r>
        <w:rPr>
          <w:i/>
          <w:sz w:val="20"/>
          <w:u w:val="single"/>
        </w:rPr>
        <w:t>Cash Flow Ratio</w:t>
      </w:r>
      <w:r>
        <w:rPr>
          <w:i/>
          <w:sz w:val="20"/>
        </w:rPr>
        <w:t>"</w:t>
      </w:r>
      <w:r>
        <w:rPr>
          <w:sz w:val="20"/>
        </w:rPr>
        <w:t xml:space="preserve"> means the ratio of Cash Flow to current maturities of long term debt of the specified entity determined in accordance with GAAP. </w:t>
      </w:r>
    </w:p>
    <w:p>
      <w:pPr>
        <w:pStyle w:val="Justified"/>
        <w:rPr>
          <w:sz w:val="20"/>
        </w:rPr>
      </w:pPr>
      <w:r>
        <w:rPr>
          <w:sz w:val="20"/>
        </w:rPr>
        <w:t>or</w:t>
      </w:r>
    </w:p>
    <w:p>
      <w:pPr>
        <w:pStyle w:val="Justified"/>
        <w:rPr>
          <w:sz w:val="20"/>
        </w:rPr>
      </w:pPr>
      <w:r>
        <w:rPr>
          <w:sz w:val="20"/>
        </w:rPr>
        <w:t>It shall be a Downgrade Event for Party B if Party B ceases to be owned or otherwise controlled by its current ultimate parent entity.  As used herein, "owned or otherwise controlled by" means the direct or indirect ownership of at least 51% of the outstanding capital stock or other equity interests of Party B having ordinary voting power.</w:t>
      </w:r>
    </w:p>
    <w:p>
      <w:pPr>
        <w:pStyle w:val="Normal"/>
        <w:spacing w:before="0" w:after="120"/>
        <w:rPr/>
      </w:pPr>
      <w:r>
        <w:rPr/>
        <w:t>or</w:t>
      </w:r>
    </w:p>
    <w:p>
      <w:pPr>
        <w:pStyle w:val="Heading2"/>
        <w:ind w:hanging="0" w:start="0"/>
        <w:rPr/>
      </w:pPr>
      <w:r>
        <w:rPr>
          <w:sz w:val="20"/>
        </w:rPr>
        <w:t>It shall be a Downgrade Event for Party B if any of the following shall occur at any time:  (a) Party B [Party B’s Guarantor</w:t>
      </w:r>
      <w:r>
        <w:rPr>
          <w:b/>
          <w:sz w:val="20"/>
        </w:rPr>
        <w:t>]</w:t>
      </w:r>
      <w:r>
        <w:rPr>
          <w:sz w:val="20"/>
        </w:rPr>
        <w:t xml:space="preserve"> shall have long-term, senior, unsecured debt not supported by third party credit enhancement that (i) is rated by S&amp;P below "BBB-," (ii) is rated by Moody’s below "Baa3," or (iii) is not rated by either S&amp;P and/or Moody's, or (b) Party B ceases to be owned or otherwise controlled by its current ultimate parent entity.  As used herein, "owned or otherwise controlled by" means the direct or indirect ownership of at least fifty-one percent (51%) of the outstanding capital stock or other equity interests of Party B, having ordinary voting power.</w:t>
      </w:r>
    </w:p>
    <w:p>
      <w:pPr>
        <w:pStyle w:val="Heading2"/>
        <w:ind w:hanging="0" w:start="0"/>
        <w:rPr>
          <w:sz w:val="20"/>
        </w:rPr>
      </w:pPr>
      <w:r>
        <w:rPr>
          <w:sz w:val="20"/>
        </w:rPr>
        <w:t>or</w:t>
      </w:r>
    </w:p>
    <w:p>
      <w:pPr>
        <w:pStyle w:val="Justified"/>
        <w:rPr/>
      </w:pPr>
      <w:r>
        <w:rPr>
          <w:sz w:val="20"/>
        </w:rPr>
        <w:t xml:space="preserve">It shall be a Downgrade Event for Party B if Party B [Party B’s Guarantor] shall have any of the following occur at any time:  (a) its Net Worth falls below __________, or (b) its EBITDA Coverage Ratio shall be less than _______.  </w:t>
      </w:r>
      <w:r>
        <w:rPr>
          <w:i/>
          <w:sz w:val="20"/>
        </w:rPr>
        <w:t>"</w:t>
      </w:r>
      <w:r>
        <w:rPr>
          <w:i/>
          <w:sz w:val="20"/>
          <w:u w:val="single"/>
        </w:rPr>
        <w:t>EBITDA</w:t>
      </w:r>
      <w:r>
        <w:rPr>
          <w:i/>
          <w:sz w:val="20"/>
        </w:rPr>
        <w:t>"</w:t>
      </w:r>
      <w:r>
        <w:rPr>
          <w:sz w:val="20"/>
        </w:rPr>
        <w:t xml:space="preserve"> means for [Party B's] [Party B's Guarantor], for any period, the sum of the specified entity and its consolidated subsidiaries’, if any, net income from operations before [the effect of changes in accounting principles after the date of the Financial Statements and] extraordinary items, plus the following expenses or charges to the extent deducted from net income in such period: depreciation, amortization, depletion, interest expense, and income taxes, all determined in accordance with GAAP.  </w:t>
      </w:r>
      <w:r>
        <w:rPr>
          <w:i/>
          <w:sz w:val="20"/>
        </w:rPr>
        <w:t>"</w:t>
      </w:r>
      <w:r>
        <w:rPr>
          <w:i/>
          <w:sz w:val="20"/>
          <w:u w:val="single"/>
        </w:rPr>
        <w:t>EBITDA Coverage Ratio</w:t>
      </w:r>
      <w:r>
        <w:rPr>
          <w:i/>
          <w:sz w:val="20"/>
        </w:rPr>
        <w:t>"</w:t>
      </w:r>
      <w:r>
        <w:rPr>
          <w:sz w:val="20"/>
        </w:rPr>
        <w:t xml:space="preserve"> means, with respect to any period, the ratio of (i) EBITDA for such period to (ii) the aggregate amount of Interest Expense for such period.  </w:t>
      </w:r>
      <w:r>
        <w:rPr>
          <w:i/>
          <w:sz w:val="20"/>
        </w:rPr>
        <w:t>"</w:t>
      </w:r>
      <w:r>
        <w:rPr>
          <w:i/>
          <w:sz w:val="20"/>
          <w:u w:val="single"/>
        </w:rPr>
        <w:t>Interest Expense</w:t>
      </w:r>
      <w:r>
        <w:rPr>
          <w:sz w:val="20"/>
        </w:rPr>
        <w:t>" means, for any period, without duplication, the total interest expense of the specified entity and its consolidated subsidiaries, if any, including (i) interest expense attributable to capital leases, (ii) amortization of indebtedness discount and indebtedness insurance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the specified entity or any of its consolidated subsidiaries, if any, under any guarantee of indebtedness or other obligations of any other person.</w:t>
      </w:r>
    </w:p>
    <w:p>
      <w:pPr>
        <w:pStyle w:val="Normal"/>
        <w:spacing w:before="0" w:after="120"/>
        <w:rPr/>
      </w:pPr>
      <w:r>
        <w:rPr>
          <w:b/>
          <w:caps/>
        </w:rPr>
        <w:t>3.</w:t>
        <w:tab/>
        <w:t xml:space="preserve">Rider </w:t>
      </w:r>
      <w:r>
        <w:rPr>
          <w:b/>
          <w:caps/>
          <w:u w:val="single"/>
        </w:rPr>
        <w:t>Taxes</w:t>
      </w:r>
    </w:p>
    <w:p>
      <w:pPr>
        <w:pStyle w:val="Justified"/>
        <w:rPr>
          <w:sz w:val="20"/>
        </w:rPr>
      </w:pPr>
      <w:r>
        <w:rPr>
          <w:sz w:val="20"/>
        </w:rPr>
        <w:t>If transactions greater than one year in length are contemplated under a Master with a counterparty, or if there is a known prospect of the imposition by a state or other jurisdiction of new taxes of the sort referenced below, including but not limited to taxes levied on “on-line” trading, then ADD THE FOLLOWING AS A LETTERED ITEM IN THE COVER SHEET’S “OTHER CHANGES” SECTION, UNDER “Part 1, General Terms And Conditions”, RELETTERING THE REMAINING NUMBERED ITEMS :</w:t>
      </w:r>
    </w:p>
    <w:p>
      <w:pPr>
        <w:pStyle w:val="Heading2"/>
        <w:tabs>
          <w:tab w:val="clear" w:pos="720"/>
          <w:tab w:val="left" w:pos="360" w:leader="none"/>
        </w:tabs>
        <w:ind w:hanging="0" w:start="0"/>
        <w:rPr/>
      </w:pPr>
      <w:r>
        <w:rPr>
          <w:sz w:val="20"/>
        </w:rPr>
        <w:t xml:space="preserve">(i)   </w:t>
      </w:r>
      <w:r>
        <w:rPr>
          <w:b/>
          <w:sz w:val="20"/>
        </w:rPr>
        <w:t>New Taxes</w:t>
      </w:r>
      <w:r>
        <w:rPr>
          <w:sz w:val="20"/>
        </w:rPr>
        <w:t>.  The following section is added as Section 9.3:</w:t>
      </w:r>
    </w:p>
    <w:p>
      <w:pPr>
        <w:pStyle w:val="Heading2"/>
        <w:tabs>
          <w:tab w:val="clear" w:pos="720"/>
          <w:tab w:val="left" w:pos="810" w:leader="none"/>
        </w:tabs>
        <w:ind w:hanging="0" w:start="360" w:end="0"/>
        <w:rPr/>
      </w:pPr>
      <w:r>
        <w:rPr>
          <w:sz w:val="20"/>
        </w:rPr>
        <w:t>9.3.</w:t>
        <w:tab/>
      </w:r>
      <w:r>
        <w:rPr>
          <w:b/>
          <w:sz w:val="20"/>
        </w:rPr>
        <w:t>New Taxes</w:t>
      </w:r>
      <w:r>
        <w:rPr>
          <w:sz w:val="20"/>
        </w:rPr>
        <w:t xml:space="preserve">.  </w:t>
      </w:r>
    </w:p>
    <w:p>
      <w:pPr>
        <w:pStyle w:val="Heading6"/>
        <w:tabs>
          <w:tab w:val="clear" w:pos="720"/>
          <w:tab w:val="left" w:pos="1080" w:leader="none"/>
        </w:tabs>
        <w:ind w:start="0" w:end="0"/>
        <w:rPr>
          <w:sz w:val="20"/>
        </w:rPr>
      </w:pPr>
      <w:r>
        <w:rPr>
          <w:sz w:val="20"/>
        </w:rPr>
        <w:t>(a)</w:t>
        <w:tab/>
        <w:t>"Taxes" as used in this Section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  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tabs>
          <w:tab w:val="clear" w:pos="720"/>
          <w:tab w:val="left" w:pos="1080" w:leader="none"/>
        </w:tabs>
        <w:spacing w:before="0" w:after="120"/>
        <w:jc w:val="both"/>
        <w:rPr/>
      </w:pPr>
      <w:r>
        <w:rPr/>
        <w:t>(b)</w:t>
        <w:tab/>
        <w:t>If (i) a new Tax occurs, and (ii) Buyer or Seller would be responsible for paying such new Tax, and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if the Non-Affected Party at its election agrees to pay the new Tax on a month-to-month basis, then upon thirty (30) days’ prior written notice to the Affected Party of its election to cease payment of such new Tax, the Affected Party shall then be liable for the payment of the new Tax, and the Parties shall again be subject to this Section 9.3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in accordance with Section 5.3 as if they each were a Non-Defaulting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Section 5.4.  Prior to and including the initial Agreement Period invoked under this Section 9.3, new Taxes shall be allocated as if they were Taxes as provided in Section 9.2.  The intent of this Section 9.3 is to leave neither party with an unfair burden as a result of new Taxes.</w:t>
      </w:r>
    </w:p>
    <w:p>
      <w:pPr>
        <w:pStyle w:val="Normal"/>
        <w:spacing w:before="0" w:after="120"/>
        <w:jc w:val="both"/>
        <w:rPr/>
      </w:pPr>
      <w:r>
        <w:rPr>
          <w:b/>
          <w:caps/>
        </w:rPr>
        <w:t>4.</w:t>
        <w:tab/>
        <w:t xml:space="preserve">Rider </w:t>
      </w:r>
      <w:r>
        <w:rPr>
          <w:b/>
          <w:caps/>
          <w:u w:val="single"/>
        </w:rPr>
        <w:t>AGENCY</w:t>
      </w:r>
    </w:p>
    <w:p>
      <w:pPr>
        <w:pStyle w:val="Normal"/>
        <w:jc w:val="both"/>
        <w:rPr/>
      </w:pPr>
      <w:r>
        <w:rPr/>
        <w:t xml:space="preserve">If a Master under negotiation with a counterparty, which counterparty is, determined by due diligence or by the counterparty’s disclosure to be, acting as agent for one or more disclosed or undisclosed principals, then use the following guidelines to add/negotiate into the Master provisions protecting the credit position of EPMI against Party B and the principals.  The following provisions are drafted with reference to the most common situation—a Service Company acting on behalf of one or more Operating Utilities under a General Services Agreement and would need to be adapted to fit other circumstances: </w:t>
      </w:r>
    </w:p>
    <w:p>
      <w:pPr>
        <w:pStyle w:val="Normal"/>
        <w:jc w:val="both"/>
        <w:rPr/>
      </w:pPr>
      <w:r>
        <w:rPr/>
      </w:r>
    </w:p>
    <w:p>
      <w:pPr>
        <w:pStyle w:val="BodyText"/>
        <w:numPr>
          <w:ilvl w:val="0"/>
          <w:numId w:val="2"/>
        </w:numPr>
        <w:ind w:hanging="0" w:start="0" w:end="0"/>
        <w:jc w:val="both"/>
        <w:rPr/>
      </w:pPr>
      <w:r>
        <w:rPr/>
        <w:t>On the first page of the cover sheet, the Party B should be clearly identified as authorized agent acting for and on behalf of the named principal(s) (the “Operating Utilities”) pursuant to an identified agreement establishing such agency. Also, revise the defined term “Counterparty” or “Party B” as follows:  “Counterparty” or “Party B” or “Service Company”.  [Outside counsel has suggested that, if possible, a reference or schedule be included that identifies each Operating Utility’s pro rata interest in goods and services purchased on behalf of the principals under the Master Agreement.  This specificity will generally not be acceptable to such parties.]</w:t>
      </w:r>
    </w:p>
    <w:p>
      <w:pPr>
        <w:pStyle w:val="BodyText"/>
        <w:jc w:val="both"/>
        <w:rPr/>
      </w:pPr>
      <w:r>
        <w:rPr/>
        <w:t xml:space="preserve"> </w:t>
      </w:r>
      <w:r>
        <w:rPr/>
        <w:t xml:space="preserve">(example: Ameren Energy, Inc., as authorized agent acting for and on behalf of Union Electric Company and Central Illinois Public Service Company (the “Operating Utilities”) pursuant to the General Services Agreement and Agency Agreement, dated ______, by and between Ameren Energy, Inc., Union Electric Company and Central Illinois Public Service Company (the “Agency Agreement”).”  </w:t>
      </w:r>
    </w:p>
    <w:p>
      <w:pPr>
        <w:pStyle w:val="Normal"/>
        <w:jc w:val="both"/>
        <w:rPr/>
      </w:pPr>
      <w:r>
        <w:rPr/>
      </w:r>
    </w:p>
    <w:p>
      <w:pPr>
        <w:pStyle w:val="Normal"/>
        <w:jc w:val="both"/>
        <w:rPr>
          <w:i/>
          <w:i/>
        </w:rPr>
      </w:pPr>
      <w:r>
        <w:rPr>
          <w:i/>
        </w:rPr>
        <w:t xml:space="preserve">and </w:t>
      </w:r>
    </w:p>
    <w:p>
      <w:pPr>
        <w:pStyle w:val="BodyText"/>
        <w:jc w:val="both"/>
        <w:rPr>
          <w:i/>
          <w:i/>
        </w:rPr>
      </w:pPr>
      <w:r>
        <w:rPr>
          <w:i/>
        </w:rPr>
      </w:r>
    </w:p>
    <w:p>
      <w:pPr>
        <w:pStyle w:val="BodyText"/>
        <w:numPr>
          <w:ilvl w:val="0"/>
          <w:numId w:val="2"/>
        </w:numPr>
        <w:ind w:hanging="0" w:start="0" w:end="0"/>
        <w:jc w:val="both"/>
        <w:rPr/>
      </w:pPr>
      <w:r>
        <w:rPr/>
        <w:t>ADD THE FOLLOWING AS A LETTERED ITEM IN THE COVER SHEET’S “OTHER CHANGES” SECTION, UNDER “Part 1, General Terms And Conditions”, RELETTERING THE REMAINING NUMBERED ITEMS</w:t>
      </w:r>
    </w:p>
    <w:p>
      <w:pPr>
        <w:pStyle w:val="BodyText"/>
        <w:numPr>
          <w:ilvl w:val="0"/>
          <w:numId w:val="6"/>
        </w:numPr>
        <w:tabs>
          <w:tab w:val="clear" w:pos="720"/>
          <w:tab w:val="left" w:pos="0" w:leader="none"/>
        </w:tabs>
        <w:ind w:hanging="0" w:start="0" w:end="0"/>
        <w:jc w:val="both"/>
        <w:rPr/>
      </w:pPr>
      <w:r>
        <w:rPr>
          <w:b/>
        </w:rPr>
        <w:t>Counterparty B’s Obligations Where Counterparty B acts as Agent</w:t>
      </w:r>
      <w:r>
        <w:rPr/>
        <w:t xml:space="preserve">.  The following provision is added to the first sentence of Section 3.1 following the phrase:   “. . . and Buyer shall pay Seller the Contract Price”:  </w:t>
      </w:r>
    </w:p>
    <w:p>
      <w:pPr>
        <w:pStyle w:val="BodyText"/>
        <w:jc w:val="both"/>
        <w:rPr/>
      </w:pPr>
      <w:r>
        <w:rPr/>
        <w:t>“</w:t>
      </w:r>
      <w:r>
        <w:rPr/>
        <w:t>regardless of whether the applicable state public utility commission[s] allow for the amounts paid by the Operating Utilities to the Service Company pursuant to the [Agency Agreement] to be recovered in customer rates.”</w:t>
      </w:r>
    </w:p>
    <w:p>
      <w:pPr>
        <w:pStyle w:val="BodyText"/>
        <w:jc w:val="both"/>
        <w:rPr>
          <w:i/>
          <w:i/>
        </w:rPr>
      </w:pPr>
      <w:r>
        <w:rPr>
          <w:i/>
        </w:rPr>
        <w:t xml:space="preserve">and </w:t>
      </w:r>
    </w:p>
    <w:p>
      <w:pPr>
        <w:pStyle w:val="BodyText"/>
        <w:numPr>
          <w:ilvl w:val="0"/>
          <w:numId w:val="2"/>
        </w:numPr>
        <w:ind w:hanging="0" w:start="0" w:end="0"/>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(i)  </w:t>
      </w:r>
      <w:r>
        <w:rPr>
          <w:b/>
        </w:rPr>
        <w:t>Representations and Warranties Relating to Agency.</w:t>
      </w:r>
      <w:r>
        <w:rPr/>
        <w:t xml:space="preserve">  The following is added to the end of Section 10.2:  </w:t>
      </w:r>
    </w:p>
    <w:p>
      <w:pPr>
        <w:pStyle w:val="BodyText"/>
        <w:jc w:val="both"/>
        <w:rPr/>
      </w:pPr>
      <w:r>
        <w:rPr/>
        <w:t>“</w:t>
      </w:r>
      <w:r>
        <w:rPr/>
        <w:t>Furthermore, Party B represents and warrants that: (a) each of the Operating Utilities is duly organized, validly existing, and in good standing under the applicable laws of the jurisdiction of its formation; (b) the execution, delivery, and performance of this Agreement are within the scope of its agency for the Operating Utilities pursuant to the Agency Agreement; (c) the Agency Agreement is in full force and effect and represents a valid and binding obligation of each of the Operating Utilities to accept and pay for the goods and services being obtained by the Service Company under the Agreement; (d) each of Operating Utilities has all regulatory authorizations necessary for each of them to legally perform its obligations under this Agreement and the Agency Agreement;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(g) there are no suits, proceedings, judgments, rulings, or orders by or before any court or any governmental authority that may materially adversely affect any of the Operating Utilities’ respective abilities to perform this Agreement or the Agency Agreement; and (h) Party B has obtained all necessary or appropriate consents, commitments, and undertakings from the Operating Companies to assure the foregoing representations and warranties. The Service Company hereby acknowledges that Party A has entered into the Agreement in reliance upon the representations set forth in this Section 10.2 and that Party A would not be willing to enter into any Transaction with the Service Company in the absence of these representations.”</w:t>
      </w:r>
    </w:p>
    <w:p>
      <w:pPr>
        <w:pStyle w:val="BodyText"/>
        <w:numPr>
          <w:ilvl w:val="0"/>
          <w:numId w:val="2"/>
        </w:numPr>
        <w:tabs>
          <w:tab w:val="clear" w:pos="720"/>
          <w:tab w:val="left" w:pos="0" w:leader="none"/>
        </w:tabs>
        <w:ind w:firstLine="360" w:start="0" w:end="0"/>
        <w:jc w:val="both"/>
        <w:rPr>
          <w:i/>
          <w:i/>
          <w:iCs/>
        </w:rPr>
      </w:pPr>
      <w:r>
        <w:rPr>
          <w:i/>
          <w:iCs/>
        </w:rPr>
        <w:t>If a rated parent company is in place as to all Operating Utilities and Party B, seek a parent company guaranty of  the obligations of Party B under the Master Agreement.</w:t>
      </w:r>
    </w:p>
    <w:p>
      <w:pPr>
        <w:pStyle w:val="BodyText"/>
        <w:numPr>
          <w:ilvl w:val="0"/>
          <w:numId w:val="2"/>
        </w:numPr>
        <w:tabs>
          <w:tab w:val="clear" w:pos="720"/>
          <w:tab w:val="left" w:pos="0" w:leader="none"/>
        </w:tabs>
        <w:ind w:firstLine="360" w:start="0" w:end="0"/>
        <w:jc w:val="both"/>
        <w:rPr/>
      </w:pPr>
      <w:r>
        <w:rPr/>
        <w:t>Attempt to obtain from each Operating Utility an executed Consent and Acknowledgment in the form shown as the attachment below.</w:t>
      </w:r>
    </w:p>
    <w:p>
      <w:pPr>
        <w:pStyle w:val="Normal"/>
        <w:jc w:val="both"/>
        <w:rPr/>
      </w:pPr>
      <w:r>
        <w:rPr>
          <w:b/>
        </w:rPr>
        <w:t xml:space="preserve">Attachment to EEI Master Power Purchase </w:t>
      </w:r>
      <w:r>
        <w:rPr>
          <w:rFonts w:eastAsia="Symbol" w:cs="Symbol" w:ascii="Symbol" w:hAnsi="Symbol"/>
          <w:b/>
        </w:rPr>
        <w:sym w:font="Symbol" w:char="f026"/>
      </w:r>
      <w:r>
        <w:rPr>
          <w:b/>
        </w:rPr>
        <w:t xml:space="preserve"> Sale Agreement:</w:t>
      </w:r>
    </w:p>
    <w:p>
      <w:pPr>
        <w:pStyle w:val="Normal"/>
        <w:jc w:val="both"/>
        <w:rPr>
          <w:b/>
        </w:rPr>
      </w:pPr>
      <w:r>
        <w:rPr>
          <w:b/>
        </w:rPr>
      </w:r>
    </w:p>
    <w:p>
      <w:pPr>
        <w:pStyle w:val="Normal"/>
        <w:jc w:val="center"/>
        <w:rPr/>
      </w:pPr>
      <w:r>
        <w:rPr/>
        <w:t>CONSENT AND ACKNOWLEDGMENT</w:t>
      </w:r>
    </w:p>
    <w:p>
      <w:pPr>
        <w:pStyle w:val="Normal"/>
        <w:jc w:val="both"/>
        <w:rPr/>
      </w:pPr>
      <w:r>
        <w:rPr/>
      </w:r>
    </w:p>
    <w:p>
      <w:pPr>
        <w:pStyle w:val="BodyText"/>
        <w:jc w:val="both"/>
        <w:rPr/>
      </w:pPr>
      <w:r>
        <w:rPr/>
        <w:tab/>
      </w:r>
      <w:r>
        <w:rPr>
          <w:i/>
        </w:rPr>
        <w:t>Whereas</w:t>
      </w:r>
      <w:r>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“Agency Agreement”), with the Operating Utilities pursuant to which it is authorized to provide various services to the Operating Utilities, including, but not limited to, services relating to the procurement of power; </w:t>
      </w:r>
    </w:p>
    <w:p>
      <w:pPr>
        <w:pStyle w:val="BodyTextIndent"/>
        <w:rPr/>
      </w:pPr>
      <w:r>
        <w:rPr>
          <w:color w:val="000000"/>
          <w:sz w:val="20"/>
        </w:rPr>
        <w:t xml:space="preserve">Now, therefore, each of the Operating Utilities (a) acknowledges that the Service Company is authorized, following execution of an EEI format Master Power Purchase </w:t>
      </w:r>
      <w:r>
        <w:rPr>
          <w:rFonts w:eastAsia="Symbol" w:cs="Symbol" w:ascii="Symbol" w:hAnsi="Symbol"/>
          <w:color w:val="000000"/>
          <w:sz w:val="20"/>
        </w:rPr>
        <w:sym w:font="Symbol" w:char="f026"/>
      </w:r>
      <w:r>
        <w:rPr>
          <w:color w:val="000000"/>
          <w:sz w:val="20"/>
        </w:rPr>
        <w:t xml:space="preserve"> Sale Agreement with such modifications as are agreed between Service Company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Operating Utilities signatory hereto in accordance with the Agency Agreement; (b) consents thereto and to all of the terms and conditions of each Transaction effected by the Service Company; (c) acknowledges that it is responsible for all obligations incurred thereunder by the Service Company as the Operating Utilities’ agent under the Master Agreement;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color w:val="000000"/>
          <w:sz w:val="20"/>
        </w:rPr>
      </w:pPr>
      <w:r>
        <w:rPr>
          <w:color w:val="000000"/>
          <w:sz w:val="20"/>
        </w:rPr>
      </w:r>
    </w:p>
    <w:p>
      <w:pPr>
        <w:pStyle w:val="BodyTextIndent"/>
        <w:rPr>
          <w:color w:val="000000"/>
          <w:sz w:val="20"/>
        </w:rPr>
      </w:pPr>
      <w:r>
        <w:rPr>
          <w:color w:val="000000"/>
          <w:sz w:val="20"/>
        </w:rPr>
        <w:t>Furthermore, each of the Operating Utilities hereby acknowledges that EPMI has entered or will enter into the Transactions in reliance upon the execution of this Consent and Acknowledgment by the Operating Utilities and that EPMI would not be willing to enter into any Transaction with the Service Company in the absence of this Consent and Acknowledgment.</w:t>
      </w:r>
    </w:p>
    <w:p>
      <w:pPr>
        <w:pStyle w:val="BodyTextIndent"/>
        <w:rPr>
          <w:color w:val="000000"/>
          <w:sz w:val="20"/>
        </w:rPr>
      </w:pPr>
      <w:r>
        <w:rPr>
          <w:color w:val="000000"/>
          <w:sz w:val="20"/>
        </w:rPr>
      </w:r>
    </w:p>
    <w:p>
      <w:pPr>
        <w:pStyle w:val="BodyTextIndent"/>
        <w:ind w:hanging="0" w:end="0"/>
        <w:rPr>
          <w:color w:val="000000"/>
          <w:sz w:val="20"/>
        </w:rPr>
      </w:pPr>
      <w:r>
        <w:rPr>
          <w:color w:val="000000"/>
          <w:sz w:val="20"/>
        </w:rPr>
        <w:t>OPERATING UTILITY</w:t>
      </w:r>
    </w:p>
    <w:p>
      <w:pPr>
        <w:pStyle w:val="BodyTextIndent"/>
        <w:ind w:hanging="0" w:end="0"/>
        <w:rPr>
          <w:color w:val="000000"/>
          <w:sz w:val="20"/>
        </w:rPr>
      </w:pPr>
      <w:r>
        <w:rPr>
          <w:color w:val="000000"/>
          <w:sz w:val="20"/>
        </w:rPr>
      </w:r>
    </w:p>
    <w:p>
      <w:pPr>
        <w:pStyle w:val="BodyTextIndent"/>
        <w:ind w:hanging="0" w:end="0"/>
        <w:rPr>
          <w:color w:val="000000"/>
          <w:sz w:val="20"/>
        </w:rPr>
      </w:pPr>
      <w:r>
        <w:rPr>
          <w:color w:val="000000"/>
          <w:sz w:val="20"/>
        </w:rPr>
        <w:t xml:space="preserve">By: </w:t>
      </w:r>
    </w:p>
    <w:p>
      <w:pPr>
        <w:pStyle w:val="BodyTextIndent"/>
        <w:ind w:hanging="0" w:end="0"/>
        <w:rPr>
          <w:color w:val="000000"/>
          <w:sz w:val="20"/>
        </w:rPr>
      </w:pPr>
      <w:r>
        <w:rPr>
          <w:color w:val="000000"/>
          <w:sz w:val="20"/>
        </w:rPr>
        <w:t>Name:</w:t>
      </w:r>
    </w:p>
    <w:p>
      <w:pPr>
        <w:pStyle w:val="BodyTextIndent"/>
        <w:ind w:hanging="0" w:end="0"/>
        <w:rPr>
          <w:color w:val="000000"/>
          <w:sz w:val="20"/>
        </w:rPr>
      </w:pPr>
      <w:r>
        <w:rPr>
          <w:color w:val="000000"/>
          <w:sz w:val="20"/>
        </w:rPr>
        <w:t>Its:</w:t>
      </w:r>
    </w:p>
    <w:p>
      <w:pPr>
        <w:pStyle w:val="BodyTextIndent"/>
        <w:ind w:hanging="0" w:end="0"/>
        <w:rPr>
          <w:color w:val="000000"/>
          <w:sz w:val="20"/>
        </w:rPr>
      </w:pPr>
      <w:r>
        <w:rPr>
          <w:color w:val="000000"/>
          <w:sz w:val="20"/>
        </w:rPr>
        <w:t>Date:</w:t>
      </w:r>
    </w:p>
    <w:p>
      <w:pPr>
        <w:pStyle w:val="BodyTextIndent"/>
        <w:ind w:hanging="0" w:end="0"/>
        <w:rPr>
          <w:color w:val="000000"/>
          <w:sz w:val="20"/>
        </w:rPr>
      </w:pPr>
      <w:r>
        <w:rPr>
          <w:color w:val="000000"/>
          <w:sz w:val="20"/>
        </w:rPr>
      </w:r>
    </w:p>
    <w:p>
      <w:pPr>
        <w:pStyle w:val="BodyTextIndent"/>
        <w:ind w:hanging="0" w:end="0"/>
        <w:rPr>
          <w:color w:val="000000"/>
          <w:sz w:val="20"/>
        </w:rPr>
      </w:pPr>
      <w:r>
        <w:rPr>
          <w:color w:val="000000"/>
          <w:sz w:val="20"/>
        </w:rPr>
        <w:t>OPERATING UTILITY</w:t>
      </w:r>
    </w:p>
    <w:p>
      <w:pPr>
        <w:pStyle w:val="BodyTextIndent"/>
        <w:ind w:hanging="0" w:end="0"/>
        <w:rPr>
          <w:color w:val="000000"/>
          <w:sz w:val="20"/>
        </w:rPr>
      </w:pPr>
      <w:r>
        <w:rPr>
          <w:color w:val="000000"/>
          <w:sz w:val="20"/>
        </w:rPr>
      </w:r>
    </w:p>
    <w:p>
      <w:pPr>
        <w:pStyle w:val="BodyTextIndent"/>
        <w:ind w:hanging="0" w:end="0"/>
        <w:rPr>
          <w:color w:val="000000"/>
          <w:sz w:val="20"/>
        </w:rPr>
      </w:pPr>
      <w:r>
        <w:rPr>
          <w:color w:val="000000"/>
          <w:sz w:val="20"/>
        </w:rPr>
        <w:t>By:</w:t>
      </w:r>
    </w:p>
    <w:p>
      <w:pPr>
        <w:pStyle w:val="BodyTextIndent"/>
        <w:ind w:hanging="0" w:end="0"/>
        <w:rPr>
          <w:color w:val="000000"/>
          <w:sz w:val="20"/>
        </w:rPr>
      </w:pPr>
      <w:r>
        <w:rPr>
          <w:color w:val="000000"/>
          <w:sz w:val="20"/>
        </w:rPr>
        <w:t>Name:</w:t>
      </w:r>
    </w:p>
    <w:p>
      <w:pPr>
        <w:pStyle w:val="BodyTextIndent"/>
        <w:ind w:hanging="0" w:end="0"/>
        <w:rPr>
          <w:color w:val="000000"/>
          <w:sz w:val="20"/>
        </w:rPr>
      </w:pPr>
      <w:r>
        <w:rPr>
          <w:color w:val="000000"/>
          <w:sz w:val="20"/>
        </w:rPr>
        <w:t>Its:</w:t>
      </w:r>
    </w:p>
    <w:p>
      <w:pPr>
        <w:pStyle w:val="BodyTextIndent"/>
        <w:ind w:hanging="0" w:end="0"/>
        <w:rPr>
          <w:color w:val="000000"/>
          <w:sz w:val="20"/>
        </w:rPr>
      </w:pPr>
      <w:r>
        <w:rPr>
          <w:color w:val="000000"/>
          <w:sz w:val="20"/>
        </w:rPr>
        <w:t>Date:</w:t>
      </w:r>
    </w:p>
    <w:p>
      <w:pPr>
        <w:pStyle w:val="Normal"/>
        <w:jc w:val="both"/>
        <w:rPr>
          <w:color w:val="000000"/>
          <w:sz w:val="20"/>
        </w:rPr>
      </w:pPr>
      <w:r>
        <w:rPr>
          <w:color w:val="000000"/>
          <w:sz w:val="20"/>
        </w:rPr>
      </w:r>
    </w:p>
    <w:p>
      <w:pPr>
        <w:pStyle w:val="BodyText"/>
        <w:jc w:val="both"/>
        <w:rPr>
          <w:i/>
          <w:i/>
        </w:rPr>
      </w:pPr>
      <w:r>
        <w:rPr>
          <w:i/>
        </w:rPr>
        <w:t>and</w:t>
      </w:r>
    </w:p>
    <w:p>
      <w:pPr>
        <w:pStyle w:val="BodyText"/>
        <w:numPr>
          <w:ilvl w:val="0"/>
          <w:numId w:val="2"/>
        </w:numPr>
        <w:ind w:hanging="0" w:start="0" w:end="0"/>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(e)  </w:t>
      </w:r>
      <w:r>
        <w:rPr>
          <w:b/>
        </w:rPr>
        <w:t>Subrogation Rights.</w:t>
      </w:r>
      <w:r>
        <w:rPr/>
        <w:t xml:space="preserve">   The following provision should be added as a new Section 5.8:</w:t>
      </w:r>
    </w:p>
    <w:p>
      <w:pPr>
        <w:pStyle w:val="Normal"/>
        <w:tabs>
          <w:tab w:val="clear" w:pos="720"/>
          <w:tab w:val="left" w:pos="0" w:leader="none"/>
          <w:tab w:val="left" w:pos="1440" w:leader="none"/>
        </w:tabs>
        <w:jc w:val="both"/>
        <w:rPr/>
      </w:pPr>
      <w:r>
        <w:rPr/>
        <w:t>5.8    “</w:t>
      </w:r>
      <w:r>
        <w:rPr>
          <w:color w:val="000000"/>
          <w:u w:val="single"/>
        </w:rPr>
        <w:t>Subrogation</w:t>
      </w:r>
      <w:r>
        <w:rPr>
          <w:color w:val="000000"/>
        </w:rPr>
        <w:t>.  In addition to all of the other remedies provided for herein, in the case of an Event of Default by Party B hereunder (a “Party B Event of Default”), Party A shall, without further notice, presentment, demand, or instrument, all of which are expressly waived, be and become immediately subrogated and succeed to any and all rights of Party B against any and all of the Operating Utilities with respect to this Agreement, including indemnification and any other rights against the Operating Utilities provided for under the Agency Agreement, and Party A shall thereupon be entitled to assert all such rights directly against the Operating Utilities for its own account.  Following a Party B Event of Default, Party B shall not independently assert any such rights under the Agreement against the Operating Utilities without the express prior written consent of Party A and shall cooperate fully with Party A in its exercise of said rights and remedies as granted and assigned to Party A in this Section 5.8, including, upon request of Party A; allowing Party A to bring an action against the Operating Utilities in Party B's name and with Party B's full cooperation therein, and (ii) executing instruments of assignment or other documents as Party A may reasonably request to give full force and effect to the rights and remedies provided in this Section 5.8.  The rights and remedies provided in this Section 5.8 are in addition to and cumulative of the other rights and remedies provided to Party A under the Agreement, and the exercise of one or more other such rights or remedies shall not prejudice or impair the concurrent or subsequent exercise of any other right or remedy.</w:t>
      </w:r>
    </w:p>
    <w:p>
      <w:pPr>
        <w:pStyle w:val="Normal"/>
        <w:jc w:val="both"/>
        <w:rPr>
          <w:color w:val="000000"/>
        </w:rPr>
      </w:pPr>
      <w:r>
        <w:rPr>
          <w:color w:val="000000"/>
        </w:rPr>
      </w:r>
    </w:p>
    <w:p>
      <w:pPr>
        <w:pStyle w:val="Normal"/>
        <w:spacing w:before="0" w:after="120"/>
        <w:rPr/>
      </w:pPr>
      <w:r>
        <w:rPr>
          <w:color w:val="000000"/>
        </w:rPr>
        <w:t>5</w:t>
      </w:r>
      <w:r>
        <w:rPr>
          <w:b/>
          <w:caps/>
        </w:rPr>
        <w:t xml:space="preserve">.           Rider </w:t>
      </w:r>
      <w:r>
        <w:rPr>
          <w:b/>
          <w:caps/>
          <w:u w:val="single"/>
        </w:rPr>
        <w:t>ENRON CROSSCOMMODITY gUARANTY</w:t>
      </w:r>
      <w:r>
        <w:rPr>
          <w:b/>
          <w:caps/>
        </w:rPr>
        <w:t xml:space="preserve">: </w:t>
      </w:r>
    </w:p>
    <w:p>
      <w:pPr>
        <w:pStyle w:val="Normal"/>
        <w:jc w:val="both"/>
        <w:rPr/>
      </w:pPr>
      <w:r>
        <w:rPr/>
        <w:t>If no guaranty will be received from Counterparty but an Enron Corp. guaranty is being offered to cover a greater dollar amount than the dollar amount the Credit group designates to be allocated to EPMI wholesale power transactions (such as in cross-commodity guarantees in which Enron Corp. guarantees obligations of multiple Enron subsidiaries):</w:t>
      </w:r>
    </w:p>
    <w:p>
      <w:pPr>
        <w:pStyle w:val="Normal"/>
        <w:jc w:val="both"/>
        <w:rPr/>
      </w:pPr>
      <w:r>
        <w:rPr/>
      </w:r>
    </w:p>
    <w:p>
      <w:pPr>
        <w:pStyle w:val="Normal"/>
        <w:numPr>
          <w:ilvl w:val="0"/>
          <w:numId w:val="5"/>
        </w:numPr>
        <w:jc w:val="both"/>
        <w:rPr/>
      </w:pPr>
      <w:r>
        <w:rPr/>
        <w:t>Approach Clement Abrams, Enron Corp. re having specific language added to such effect in the Enron Corp. guaranty.</w:t>
      </w:r>
    </w:p>
    <w:p>
      <w:pPr>
        <w:pStyle w:val="Normal"/>
        <w:tabs>
          <w:tab w:val="clear" w:pos="720"/>
          <w:tab w:val="left" w:pos="7455" w:leader="none"/>
        </w:tabs>
        <w:ind w:start="60" w:end="0"/>
        <w:jc w:val="both"/>
        <w:rPr/>
      </w:pPr>
      <w:r>
        <w:rPr/>
        <w:tab/>
      </w:r>
    </w:p>
    <w:p>
      <w:pPr>
        <w:pStyle w:val="Normal"/>
        <w:numPr>
          <w:ilvl w:val="0"/>
          <w:numId w:val="5"/>
        </w:numPr>
        <w:jc w:val="both"/>
        <w:rPr/>
      </w:pPr>
      <w:r>
        <w:rPr/>
        <w:t>(Presuming EPMI is Party A) ADD THE FOLLOWING AS A LETTERED ITEM IN THE COVER SHEET’S “OTHER CHANGES” SECTION, UNDER “Part 1, General Terms And Conditions”, RELETTERING THE REMAINING NUMBERED ITEMS:</w:t>
      </w:r>
    </w:p>
    <w:p>
      <w:pPr>
        <w:pStyle w:val="Heading2"/>
        <w:tabs>
          <w:tab w:val="clear" w:pos="720"/>
          <w:tab w:val="left" w:pos="360" w:leader="none"/>
        </w:tabs>
        <w:ind w:hanging="0" w:start="0"/>
        <w:rPr>
          <w:sz w:val="20"/>
        </w:rPr>
      </w:pPr>
      <w:r>
        <w:rPr>
          <w:sz w:val="20"/>
        </w:rPr>
      </w:r>
    </w:p>
    <w:p>
      <w:pPr>
        <w:pStyle w:val="Normal"/>
        <w:jc w:val="both"/>
        <w:rPr/>
      </w:pPr>
      <w:r>
        <w:rPr/>
        <w:t xml:space="preserve">(i)   </w:t>
      </w:r>
      <w:r>
        <w:rPr>
          <w:b/>
          <w:bCs/>
        </w:rPr>
        <w:t>Guarantee Amount.</w:t>
      </w:r>
      <w:r>
        <w:rPr/>
        <w:t xml:space="preserve">  The last sentence of Section 8.2 (e) is amended to add the following phrase at the end: ", provided that in no event shall the liability of Party A's Guarantor exceed the Party A Guaranty Amount."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/mnt/main-storage/datasets/enron-docs/doc/EEI_form_2000_riders.doc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rPr/>
    </w:lvl>
  </w:abstractNum>
  <w:abstractNum w:abstractNumId="4">
    <w:lvl w:ilvl="0">
      <w:start w:val="2"/>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420"/>
        </w:tabs>
        <w:ind w:start="420" w:hanging="360"/>
      </w:pPr>
      <w:rPr/>
    </w:lvl>
  </w:abstractNum>
  <w:abstractNum w:abstractNumId="6">
    <w:lvl w:ilvl="0">
      <w:start w:val="2"/>
      <w:numFmt w:val="lowerLetter"/>
      <w:lvlText w:val="(%1)"/>
      <w:lvlJc w:val="start"/>
      <w:pPr>
        <w:tabs>
          <w:tab w:val="num" w:pos="360"/>
        </w:tabs>
        <w:ind w:start="3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BodyText"/>
    <w:qFormat/>
    <w:pPr>
      <w:numPr>
        <w:ilvl w:val="6"/>
        <w:numId w:val="1"/>
      </w:numPr>
      <w:spacing w:before="0" w:after="20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i w:val="false"/>
      <w:caps/>
      <w:sz w:val="24"/>
    </w:rPr>
  </w:style>
  <w:style w:type="character" w:styleId="WW8Num8z1">
    <w:name w:val="WW8Num8z1"/>
    <w:qFormat/>
    <w:rPr>
      <w:rFonts w:ascii="Times New Roman" w:hAnsi="Times New Roman" w:cs="Times New Roman"/>
      <w:b w:val="false"/>
      <w:i w:val="false"/>
      <w:sz w:val="24"/>
      <w:u w:val="none"/>
    </w:rPr>
  </w:style>
  <w:style w:type="character" w:styleId="WW8Num8z2">
    <w:name w:val="WW8Num8z2"/>
    <w:qFormat/>
    <w:rPr>
      <w:rFonts w:ascii="Times New Roman" w:hAnsi="Times New Roman" w:cs="Times New Roman"/>
      <w:b w:val="false"/>
      <w:i w:val="false"/>
      <w:sz w:val="24"/>
    </w:rPr>
  </w:style>
  <w:style w:type="character" w:styleId="WW8Num8z5">
    <w:name w:val="WW8Num8z5"/>
    <w:qFormat/>
    <w:rPr>
      <w:rFonts w:ascii="Times New Roman" w:hAnsi="Times New Roman" w:cs="Times New Roman"/>
      <w:b/>
      <w:i w:val="false"/>
      <w:sz w:val="24"/>
      <w:u w:val="none"/>
    </w:rPr>
  </w:style>
  <w:style w:type="character" w:styleId="WW8Num9z0">
    <w:name w:val="WW8Num9z0"/>
    <w:qFormat/>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2000-06-20T13:57:00Z</dcterms:created>
  <dc:creator>dportz</dc:creator>
  <dc:description/>
  <dc:language>en-CA</dc:language>
  <cp:lastModifiedBy>bwhiteh</cp:lastModifiedBy>
  <cp:lastPrinted>2000-06-13T14:25:00Z</cp:lastPrinted>
  <dcterms:modified xsi:type="dcterms:W3CDTF">2000-06-20T13:57:00Z</dcterms:modified>
  <cp:revision>2</cp:revision>
  <dc:subject/>
  <dc:title>RIDERS</dc:title>
</cp:coreProperties>
</file>