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18" w:type="dxa"/>
        <w:jc w:val="start"/>
        <w:tblInd w:w="-108" w:type="dxa"/>
        <w:tblLayout w:type="fixed"/>
        <w:tblCellMar>
          <w:top w:w="0" w:type="dxa"/>
          <w:start w:w="0" w:type="dxa"/>
          <w:bottom w:w="0" w:type="dxa"/>
          <w:end w:w="0" w:type="dxa"/>
        </w:tblCellMar>
      </w:tblPr>
      <w:tblGrid>
        <w:gridCol w:w="288"/>
        <w:gridCol w:w="1281"/>
        <w:gridCol w:w="1575"/>
        <w:gridCol w:w="2187"/>
        <w:gridCol w:w="1981"/>
        <w:gridCol w:w="167"/>
        <w:gridCol w:w="2234"/>
        <w:gridCol w:w="1105"/>
      </w:tblGrid>
      <w:tr>
        <w:trPr/>
        <w:tc>
          <w:tcPr>
            <w:tcW w:w="288" w:type="dxa"/>
            <w:tcBorders/>
          </w:tcPr>
          <w:p>
            <w:pPr>
              <w:pStyle w:val="TableHeading"/>
              <w:rPr/>
            </w:pPr>
            <w:r>
              <w:rPr/>
            </w:r>
          </w:p>
        </w:tc>
        <w:tc>
          <w:tcPr>
            <w:tcW w:w="2856" w:type="dxa"/>
            <w:gridSpan w:val="2"/>
            <w:tcBorders/>
            <w:tcMar>
              <w:start w:w="108" w:type="dxa"/>
              <w:end w:w="108" w:type="dxa"/>
            </w:tcMar>
          </w:tcPr>
          <w:p>
            <w:pPr>
              <w:pStyle w:val="Normal"/>
              <w:tabs>
                <w:tab w:val="clear" w:pos="720"/>
                <w:tab w:val="right" w:pos="8640" w:leader="none"/>
              </w:tabs>
              <w:jc w:val="both"/>
              <w:rPr/>
            </w:pPr>
            <w:r>
              <w:rPr/>
              <w:drawing>
                <wp:inline distT="0" distB="0" distL="0" distR="0">
                  <wp:extent cx="948055" cy="94170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48055" cy="941705"/>
                          </a:xfrm>
                          <a:prstGeom prst="rect">
                            <a:avLst/>
                          </a:prstGeom>
                          <a:noFill/>
                        </pic:spPr>
                      </pic:pic>
                    </a:graphicData>
                  </a:graphic>
                </wp:inline>
              </w:drawing>
            </w:r>
            <w:r>
              <w:rPr>
                <w:rFonts w:eastAsia="Tms Rmn;Times New Roman"/>
                <w:b/>
                <w:sz w:val="30"/>
              </w:rPr>
              <w:t xml:space="preserve"> </w:t>
            </w:r>
            <w:r>
              <w:rPr>
                <w:b/>
                <w:sz w:val="30"/>
              </w:rPr>
              <w:tab/>
            </w:r>
          </w:p>
          <w:p>
            <w:pPr>
              <w:pStyle w:val="Normal"/>
              <w:tabs>
                <w:tab w:val="clear" w:pos="720"/>
                <w:tab w:val="right" w:pos="8640" w:leader="none"/>
              </w:tabs>
              <w:jc w:val="both"/>
              <w:rPr>
                <w:b/>
                <w:sz w:val="16"/>
              </w:rPr>
            </w:pPr>
            <w:r>
              <w:rPr>
                <w:b/>
                <w:sz w:val="16"/>
              </w:rPr>
              <w:t>Natural Gas,</w:t>
            </w:r>
          </w:p>
          <w:p>
            <w:pPr>
              <w:pStyle w:val="Normal"/>
              <w:tabs>
                <w:tab w:val="clear" w:pos="720"/>
                <w:tab w:val="right" w:pos="8640" w:leader="none"/>
              </w:tabs>
              <w:jc w:val="both"/>
              <w:rPr>
                <w:b/>
                <w:sz w:val="16"/>
              </w:rPr>
            </w:pPr>
            <w:r>
              <w:rPr>
                <w:b/>
                <w:sz w:val="16"/>
              </w:rPr>
              <w:t>Electricity and</w:t>
              <w:tab/>
            </w:r>
          </w:p>
          <w:p>
            <w:pPr>
              <w:pStyle w:val="Normal"/>
              <w:tabs>
                <w:tab w:val="clear" w:pos="720"/>
                <w:tab w:val="right" w:pos="8640" w:leader="none"/>
              </w:tabs>
              <w:jc w:val="both"/>
              <w:rPr>
                <w:b/>
                <w:sz w:val="26"/>
              </w:rPr>
            </w:pPr>
            <w:r>
              <w:rPr>
                <w:b/>
                <w:sz w:val="16"/>
              </w:rPr>
              <w:t>Endless Possibilities</w:t>
            </w:r>
            <w:r>
              <w:rPr>
                <w:b/>
                <w:sz w:val="30"/>
              </w:rPr>
              <w:tab/>
            </w:r>
          </w:p>
          <w:p>
            <w:pPr>
              <w:pStyle w:val="Normal"/>
              <w:spacing w:before="20" w:after="0"/>
              <w:rPr>
                <w:b/>
                <w:sz w:val="26"/>
              </w:rPr>
            </w:pPr>
            <w:r>
              <w:rPr>
                <w:b/>
                <w:sz w:val="26"/>
              </w:rPr>
            </w:r>
          </w:p>
        </w:tc>
        <w:tc>
          <w:tcPr>
            <w:tcW w:w="4168" w:type="dxa"/>
            <w:gridSpan w:val="2"/>
            <w:tcBorders/>
            <w:tcMar>
              <w:start w:w="108" w:type="dxa"/>
              <w:end w:w="108" w:type="dxa"/>
            </w:tcMar>
          </w:tcPr>
          <w:p>
            <w:pPr>
              <w:pStyle w:val="Normal"/>
              <w:snapToGrid w:val="false"/>
              <w:jc w:val="both"/>
              <w:rPr>
                <w:b/>
                <w:sz w:val="36"/>
              </w:rPr>
            </w:pPr>
            <w:r>
              <w:rPr>
                <w:b/>
                <w:sz w:val="36"/>
              </w:rPr>
            </w:r>
          </w:p>
        </w:tc>
        <w:tc>
          <w:tcPr>
            <w:tcW w:w="3506" w:type="dxa"/>
            <w:gridSpan w:val="3"/>
            <w:tcBorders/>
            <w:tcMar>
              <w:start w:w="108" w:type="dxa"/>
              <w:end w:w="108" w:type="dxa"/>
            </w:tcMar>
          </w:tcPr>
          <w:p>
            <w:pPr>
              <w:pStyle w:val="Normal"/>
              <w:snapToGrid w:val="false"/>
              <w:jc w:val="both"/>
              <w:rPr>
                <w:b/>
                <w:sz w:val="22"/>
              </w:rPr>
            </w:pPr>
            <w:r>
              <w:rPr>
                <w:b/>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b/>
                <w:sz w:val="32"/>
              </w:rPr>
            </w:pPr>
            <w:r>
              <w:rPr>
                <w:b/>
                <w:sz w:val="32"/>
              </w:rPr>
            </w:r>
          </w:p>
          <w:p>
            <w:pPr>
              <w:pStyle w:val="Normal"/>
              <w:jc w:val="both"/>
              <w:rPr>
                <w:b/>
                <w:sz w:val="36"/>
              </w:rPr>
            </w:pPr>
            <w:r>
              <w:rPr>
                <w:b/>
                <w:sz w:val="32"/>
              </w:rPr>
              <w:t>Memorandum</w:t>
            </w:r>
          </w:p>
        </w:tc>
      </w:tr>
      <w:tr>
        <w:trPr/>
        <w:tc>
          <w:tcPr>
            <w:tcW w:w="1569" w:type="dxa"/>
            <w:gridSpan w:val="2"/>
            <w:tcBorders/>
            <w:tcMar>
              <w:start w:w="108" w:type="dxa"/>
              <w:end w:w="108" w:type="dxa"/>
            </w:tcMar>
          </w:tcPr>
          <w:p>
            <w:pPr>
              <w:pStyle w:val="Normal"/>
              <w:rPr>
                <w:rFonts w:ascii="Times New Roman" w:hAnsi="Times New Roman" w:cs="Times New Roman"/>
                <w:sz w:val="24"/>
              </w:rPr>
            </w:pPr>
            <w:r>
              <w:rPr>
                <w:rFonts w:cs="Times New Roman" w:ascii="Times New Roman" w:hAnsi="Times New Roman"/>
                <w:b/>
                <w:sz w:val="24"/>
              </w:rPr>
              <w:t>TO:</w:t>
            </w:r>
          </w:p>
        </w:tc>
        <w:tc>
          <w:tcPr>
            <w:tcW w:w="3762" w:type="dxa"/>
            <w:gridSpan w:val="2"/>
            <w:tcBorders/>
            <w:tcMar>
              <w:start w:w="108" w:type="dxa"/>
              <w:end w:w="108" w:type="dxa"/>
            </w:tcMar>
          </w:tcPr>
          <w:p>
            <w:pPr>
              <w:pStyle w:val="Normal"/>
              <w:rPr>
                <w:rFonts w:ascii="Times New Roman" w:hAnsi="Times New Roman" w:cs="Times New Roman"/>
                <w:sz w:val="24"/>
              </w:rPr>
            </w:pPr>
            <w:r>
              <w:rPr>
                <w:rFonts w:cs="Times New Roman" w:ascii="Times New Roman" w:hAnsi="Times New Roman"/>
                <w:sz w:val="24"/>
              </w:rPr>
              <w:t>EEI Collateral Annex Working Group</w:t>
            </w:r>
          </w:p>
        </w:tc>
        <w:tc>
          <w:tcPr>
            <w:tcW w:w="2148" w:type="dxa"/>
            <w:gridSpan w:val="2"/>
            <w:tcBorders/>
            <w:tcMar>
              <w:start w:w="108" w:type="dxa"/>
              <w:end w:w="108" w:type="dxa"/>
            </w:tcMar>
          </w:tcPr>
          <w:p>
            <w:pPr>
              <w:pStyle w:val="Normal"/>
              <w:snapToGrid w:val="false"/>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tc>
        <w:tc>
          <w:tcPr>
            <w:tcW w:w="2234" w:type="dxa"/>
            <w:tcBorders/>
            <w:tcMar>
              <w:start w:w="108" w:type="dxa"/>
              <w:end w:w="108" w:type="dxa"/>
            </w:tcMar>
          </w:tcPr>
          <w:p>
            <w:pPr>
              <w:pStyle w:val="Normal"/>
              <w:snapToGrid w:val="false"/>
              <w:rPr>
                <w:rFonts w:ascii="Times New Roman" w:hAnsi="Times New Roman" w:cs="Times New Roman"/>
                <w:sz w:val="24"/>
              </w:rPr>
            </w:pPr>
            <w:r>
              <w:rPr>
                <w:rFonts w:cs="Times New Roman" w:ascii="Times New Roman" w:hAnsi="Times New Roman"/>
                <w:sz w:val="24"/>
              </w:rPr>
            </w:r>
          </w:p>
        </w:tc>
        <w:tc>
          <w:tcPr>
            <w:tcW w:w="1105"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r>
      <w:tr>
        <w:trPr/>
        <w:tc>
          <w:tcPr>
            <w:tcW w:w="1569" w:type="dxa"/>
            <w:gridSpan w:val="2"/>
            <w:tcBorders/>
            <w:tcMar>
              <w:start w:w="108" w:type="dxa"/>
              <w:end w:w="108" w:type="dxa"/>
            </w:tcMar>
          </w:tcPr>
          <w:p>
            <w:pPr>
              <w:pStyle w:val="Normal"/>
              <w:snapToGrid w:val="false"/>
              <w:rPr>
                <w:rFonts w:ascii="Times New Roman" w:hAnsi="Times New Roman" w:cs="Times New Roman"/>
                <w:sz w:val="24"/>
              </w:rPr>
            </w:pPr>
            <w:r>
              <w:rPr>
                <w:rFonts w:cs="Times New Roman" w:ascii="Times New Roman" w:hAnsi="Times New Roman"/>
                <w:sz w:val="24"/>
              </w:rPr>
            </w:r>
          </w:p>
        </w:tc>
        <w:tc>
          <w:tcPr>
            <w:tcW w:w="3762" w:type="dxa"/>
            <w:gridSpan w:val="2"/>
            <w:tcBorders/>
            <w:tcMar>
              <w:start w:w="108" w:type="dxa"/>
              <w:end w:w="108" w:type="dxa"/>
            </w:tcMar>
          </w:tcPr>
          <w:p>
            <w:pPr>
              <w:pStyle w:val="Normal"/>
              <w:snapToGrid w:val="false"/>
              <w:rPr>
                <w:rFonts w:ascii="Times New Roman" w:hAnsi="Times New Roman" w:cs="Times New Roman"/>
                <w:sz w:val="24"/>
              </w:rPr>
            </w:pPr>
            <w:r>
              <w:rPr>
                <w:rFonts w:cs="Times New Roman" w:ascii="Times New Roman" w:hAnsi="Times New Roman"/>
                <w:sz w:val="24"/>
              </w:rPr>
            </w:r>
          </w:p>
        </w:tc>
        <w:tc>
          <w:tcPr>
            <w:tcW w:w="2148" w:type="dxa"/>
            <w:gridSpan w:val="2"/>
            <w:tcBorders/>
            <w:tcMar>
              <w:start w:w="108" w:type="dxa"/>
              <w:end w:w="108" w:type="dxa"/>
            </w:tcMar>
          </w:tcPr>
          <w:p>
            <w:pPr>
              <w:pStyle w:val="Normal"/>
              <w:snapToGrid w:val="false"/>
              <w:rPr>
                <w:rFonts w:ascii="Times New Roman" w:hAnsi="Times New Roman" w:cs="Times New Roman"/>
                <w:sz w:val="24"/>
              </w:rPr>
            </w:pPr>
            <w:r>
              <w:rPr>
                <w:rFonts w:cs="Times New Roman" w:ascii="Times New Roman" w:hAnsi="Times New Roman"/>
                <w:sz w:val="24"/>
              </w:rPr>
            </w:r>
          </w:p>
        </w:tc>
        <w:tc>
          <w:tcPr>
            <w:tcW w:w="2234" w:type="dxa"/>
            <w:tcBorders/>
            <w:tcMar>
              <w:start w:w="108" w:type="dxa"/>
              <w:end w:w="108" w:type="dxa"/>
            </w:tcMar>
          </w:tcPr>
          <w:p>
            <w:pPr>
              <w:pStyle w:val="Normal"/>
              <w:snapToGrid w:val="false"/>
              <w:rPr>
                <w:rFonts w:ascii="Times New Roman" w:hAnsi="Times New Roman" w:cs="Times New Roman"/>
                <w:sz w:val="24"/>
              </w:rPr>
            </w:pPr>
            <w:r>
              <w:rPr>
                <w:rFonts w:cs="Times New Roman" w:ascii="Times New Roman" w:hAnsi="Times New Roman"/>
                <w:sz w:val="24"/>
              </w:rPr>
            </w:r>
          </w:p>
        </w:tc>
        <w:tc>
          <w:tcPr>
            <w:tcW w:w="1105"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r>
      <w:tr>
        <w:trPr/>
        <w:tc>
          <w:tcPr>
            <w:tcW w:w="1569" w:type="dxa"/>
            <w:gridSpan w:val="2"/>
            <w:tcBorders/>
            <w:tcMar>
              <w:start w:w="108" w:type="dxa"/>
              <w:end w:w="108" w:type="dxa"/>
            </w:tcMar>
          </w:tcPr>
          <w:p>
            <w:pPr>
              <w:pStyle w:val="Normal"/>
              <w:rPr>
                <w:rFonts w:ascii="Times New Roman" w:hAnsi="Times New Roman" w:cs="Times New Roman"/>
                <w:sz w:val="24"/>
              </w:rPr>
            </w:pPr>
            <w:r>
              <w:rPr>
                <w:rFonts w:cs="Times New Roman" w:ascii="Times New Roman" w:hAnsi="Times New Roman"/>
                <w:b/>
                <w:sz w:val="24"/>
              </w:rPr>
              <w:t>FROM:</w:t>
            </w:r>
          </w:p>
        </w:tc>
        <w:tc>
          <w:tcPr>
            <w:tcW w:w="3762" w:type="dxa"/>
            <w:gridSpan w:val="2"/>
            <w:tcBorders/>
            <w:tcMar>
              <w:start w:w="108" w:type="dxa"/>
              <w:end w:w="108" w:type="dxa"/>
            </w:tcMar>
          </w:tcPr>
          <w:p>
            <w:pPr>
              <w:pStyle w:val="Normal"/>
              <w:rPr>
                <w:rFonts w:ascii="Times New Roman" w:hAnsi="Times New Roman" w:cs="Times New Roman"/>
                <w:sz w:val="24"/>
              </w:rPr>
            </w:pPr>
            <w:r>
              <w:rPr>
                <w:rFonts w:cs="Times New Roman" w:ascii="Times New Roman" w:hAnsi="Times New Roman"/>
                <w:sz w:val="24"/>
              </w:rPr>
              <w:t>Carol St. Clair</w:t>
            </w:r>
          </w:p>
        </w:tc>
        <w:tc>
          <w:tcPr>
            <w:tcW w:w="2148" w:type="dxa"/>
            <w:gridSpan w:val="2"/>
            <w:tcBorders/>
            <w:tcMar>
              <w:start w:w="108" w:type="dxa"/>
              <w:end w:w="108" w:type="dxa"/>
            </w:tcMar>
          </w:tcPr>
          <w:p>
            <w:pPr>
              <w:pStyle w:val="Normal"/>
              <w:snapToGrid w:val="false"/>
              <w:rPr>
                <w:rFonts w:ascii="Times New Roman" w:hAnsi="Times New Roman" w:cs="Times New Roman"/>
                <w:sz w:val="24"/>
              </w:rPr>
            </w:pPr>
            <w:r>
              <w:rPr>
                <w:rFonts w:cs="Times New Roman" w:ascii="Times New Roman" w:hAnsi="Times New Roman"/>
                <w:sz w:val="24"/>
              </w:rPr>
            </w:r>
          </w:p>
        </w:tc>
        <w:tc>
          <w:tcPr>
            <w:tcW w:w="2234" w:type="dxa"/>
            <w:tcBorders/>
            <w:tcMar>
              <w:start w:w="108" w:type="dxa"/>
              <w:end w:w="108" w:type="dxa"/>
            </w:tcMar>
          </w:tcPr>
          <w:p>
            <w:pPr>
              <w:pStyle w:val="Normal"/>
              <w:snapToGrid w:val="false"/>
              <w:rPr>
                <w:rFonts w:ascii="Times New Roman" w:hAnsi="Times New Roman" w:cs="Times New Roman"/>
                <w:sz w:val="24"/>
              </w:rPr>
            </w:pPr>
            <w:r>
              <w:rPr>
                <w:rFonts w:cs="Times New Roman" w:ascii="Times New Roman" w:hAnsi="Times New Roman"/>
                <w:sz w:val="24"/>
              </w:rPr>
            </w:r>
          </w:p>
        </w:tc>
        <w:tc>
          <w:tcPr>
            <w:tcW w:w="1105"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r>
      <w:tr>
        <w:trPr/>
        <w:tc>
          <w:tcPr>
            <w:tcW w:w="1569" w:type="dxa"/>
            <w:gridSpan w:val="2"/>
            <w:tcBorders/>
            <w:tcMar>
              <w:start w:w="108" w:type="dxa"/>
              <w:end w:w="108" w:type="dxa"/>
            </w:tcMar>
          </w:tcPr>
          <w:p>
            <w:pPr>
              <w:pStyle w:val="Normal"/>
              <w:snapToGrid w:val="false"/>
              <w:rPr>
                <w:rFonts w:ascii="Times New Roman" w:hAnsi="Times New Roman" w:cs="Times New Roman"/>
                <w:b/>
                <w:sz w:val="24"/>
              </w:rPr>
            </w:pPr>
            <w:r>
              <w:rPr>
                <w:rFonts w:cs="Times New Roman" w:ascii="Times New Roman" w:hAnsi="Times New Roman"/>
                <w:b/>
                <w:sz w:val="24"/>
              </w:rPr>
            </w:r>
          </w:p>
        </w:tc>
        <w:tc>
          <w:tcPr>
            <w:tcW w:w="3762" w:type="dxa"/>
            <w:gridSpan w:val="2"/>
            <w:tcBorders/>
            <w:tcMar>
              <w:start w:w="108" w:type="dxa"/>
              <w:end w:w="108" w:type="dxa"/>
            </w:tcMar>
          </w:tcPr>
          <w:p>
            <w:pPr>
              <w:pStyle w:val="Normal"/>
              <w:snapToGrid w:val="false"/>
              <w:rPr>
                <w:rFonts w:ascii="Times New Roman" w:hAnsi="Times New Roman" w:cs="Times New Roman"/>
                <w:b/>
                <w:sz w:val="24"/>
              </w:rPr>
            </w:pPr>
            <w:r>
              <w:rPr>
                <w:rFonts w:cs="Times New Roman" w:ascii="Times New Roman" w:hAnsi="Times New Roman"/>
                <w:b/>
                <w:sz w:val="24"/>
              </w:rPr>
            </w:r>
          </w:p>
        </w:tc>
        <w:tc>
          <w:tcPr>
            <w:tcW w:w="2148" w:type="dxa"/>
            <w:gridSpan w:val="2"/>
            <w:tcBorders/>
            <w:tcMar>
              <w:start w:w="108" w:type="dxa"/>
              <w:end w:w="108" w:type="dxa"/>
            </w:tcMar>
          </w:tcPr>
          <w:p>
            <w:pPr>
              <w:pStyle w:val="Normal"/>
              <w:snapToGrid w:val="false"/>
              <w:rPr>
                <w:rFonts w:ascii="Times New Roman" w:hAnsi="Times New Roman" w:cs="Times New Roman"/>
                <w:b/>
                <w:sz w:val="24"/>
              </w:rPr>
            </w:pPr>
            <w:r>
              <w:rPr>
                <w:rFonts w:cs="Times New Roman" w:ascii="Times New Roman" w:hAnsi="Times New Roman"/>
                <w:b/>
                <w:sz w:val="24"/>
              </w:rPr>
            </w:r>
          </w:p>
        </w:tc>
        <w:tc>
          <w:tcPr>
            <w:tcW w:w="2234" w:type="dxa"/>
            <w:tcBorders/>
            <w:tcMar>
              <w:start w:w="108" w:type="dxa"/>
              <w:end w:w="108" w:type="dxa"/>
            </w:tcMar>
          </w:tcPr>
          <w:p>
            <w:pPr>
              <w:pStyle w:val="Normal"/>
              <w:snapToGrid w:val="false"/>
              <w:rPr>
                <w:rFonts w:ascii="Times New Roman" w:hAnsi="Times New Roman" w:cs="Times New Roman"/>
                <w:b/>
                <w:sz w:val="24"/>
              </w:rPr>
            </w:pPr>
            <w:r>
              <w:rPr>
                <w:rFonts w:cs="Times New Roman" w:ascii="Times New Roman" w:hAnsi="Times New Roman"/>
                <w:b/>
                <w:sz w:val="24"/>
              </w:rPr>
            </w:r>
          </w:p>
        </w:tc>
        <w:tc>
          <w:tcPr>
            <w:tcW w:w="1105"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r>
      <w:tr>
        <w:trPr/>
        <w:tc>
          <w:tcPr>
            <w:tcW w:w="1569" w:type="dxa"/>
            <w:gridSpan w:val="2"/>
            <w:tcBorders/>
            <w:tcMar>
              <w:start w:w="108" w:type="dxa"/>
              <w:end w:w="108" w:type="dxa"/>
            </w:tcMar>
          </w:tcPr>
          <w:p>
            <w:pPr>
              <w:pStyle w:val="Normal"/>
              <w:rPr>
                <w:rFonts w:ascii="Times New Roman" w:hAnsi="Times New Roman" w:cs="Times New Roman"/>
                <w:sz w:val="24"/>
              </w:rPr>
            </w:pPr>
            <w:r>
              <w:rPr>
                <w:rFonts w:cs="Times New Roman" w:ascii="Times New Roman" w:hAnsi="Times New Roman"/>
                <w:b/>
                <w:sz w:val="24"/>
              </w:rPr>
              <w:t>SUBJECT:</w:t>
            </w:r>
          </w:p>
        </w:tc>
        <w:tc>
          <w:tcPr>
            <w:tcW w:w="3762" w:type="dxa"/>
            <w:gridSpan w:val="2"/>
            <w:tcBorders/>
            <w:tcMar>
              <w:start w:w="108" w:type="dxa"/>
              <w:end w:w="108" w:type="dxa"/>
            </w:tcMar>
          </w:tcPr>
          <w:p>
            <w:pPr>
              <w:pStyle w:val="Heading3"/>
              <w:ind w:hanging="0" w:start="0"/>
              <w:rPr/>
            </w:pPr>
            <w:r>
              <w:rPr/>
              <w:t>Collateral Annex</w:t>
            </w:r>
          </w:p>
        </w:tc>
        <w:tc>
          <w:tcPr>
            <w:tcW w:w="2148" w:type="dxa"/>
            <w:gridSpan w:val="2"/>
            <w:tcBorders/>
            <w:tcMar>
              <w:start w:w="108" w:type="dxa"/>
              <w:end w:w="108" w:type="dxa"/>
            </w:tcMar>
          </w:tcPr>
          <w:p>
            <w:pPr>
              <w:pStyle w:val="Normal"/>
              <w:rPr>
                <w:rFonts w:ascii="Times New Roman" w:hAnsi="Times New Roman" w:cs="Times New Roman"/>
                <w:sz w:val="24"/>
              </w:rPr>
            </w:pPr>
            <w:r>
              <w:rPr>
                <w:rFonts w:cs="Times New Roman" w:ascii="Times New Roman" w:hAnsi="Times New Roman"/>
                <w:b/>
                <w:sz w:val="24"/>
              </w:rPr>
              <w:t>DATE:</w:t>
            </w:r>
          </w:p>
        </w:tc>
        <w:tc>
          <w:tcPr>
            <w:tcW w:w="2234" w:type="dxa"/>
            <w:tcBorders/>
            <w:tcMar>
              <w:start w:w="108" w:type="dxa"/>
              <w:end w:w="108" w:type="dxa"/>
            </w:tcMar>
          </w:tcPr>
          <w:p>
            <w:pPr>
              <w:pStyle w:val="Normal"/>
              <w:rPr>
                <w:rFonts w:ascii="Times New Roman" w:hAnsi="Times New Roman" w:cs="Times New Roman"/>
                <w:sz w:val="24"/>
              </w:rPr>
            </w:pPr>
            <w:r>
              <w:rPr>
                <w:rFonts w:cs="Times New Roman" w:ascii="Times New Roman" w:hAnsi="Times New Roman"/>
                <w:sz w:val="24"/>
              </w:rPr>
              <w:t>November 8, 2001</w:t>
            </w:r>
          </w:p>
        </w:tc>
        <w:tc>
          <w:tcPr>
            <w:tcW w:w="1105"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r>
    </w:tbl>
    <w:p>
      <w:pPr>
        <w:pStyle w:val="Normal"/>
        <w:pBdr>
          <w:bottom w:val="single" w:sz="18" w:space="1" w:color="000000"/>
        </w:pBdr>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spacing w:lineRule="atLeast" w:line="240"/>
        <w:jc w:val="both"/>
        <w:rPr>
          <w:sz w:val="24"/>
        </w:rPr>
      </w:pPr>
      <w:r>
        <w:rPr>
          <w:sz w:val="24"/>
        </w:rPr>
        <w:tab/>
        <w:t>Enclosed is the revised draft of the EEI Collateral Annex and Cover Sheet.  We received quite a few comments from the working group, most of which we incorporated into the new drafts.  The following is a list of comments that we did not incorporate into the new draft which we may need to discuss at the upcoming meeting to the extent that they were not discussed at the last meeting:</w:t>
      </w:r>
    </w:p>
    <w:p>
      <w:pPr>
        <w:pStyle w:val="Normal"/>
        <w:tabs>
          <w:tab w:val="left" w:pos="720" w:leader="none"/>
        </w:tabs>
        <w:spacing w:lineRule="atLeast" w:line="240"/>
        <w:jc w:val="both"/>
        <w:rPr>
          <w:sz w:val="24"/>
        </w:rPr>
      </w:pPr>
      <w:r>
        <w:rPr>
          <w:sz w:val="24"/>
        </w:rPr>
      </w:r>
    </w:p>
    <w:p>
      <w:pPr>
        <w:pStyle w:val="Normal"/>
        <w:numPr>
          <w:ilvl w:val="0"/>
          <w:numId w:val="2"/>
        </w:numPr>
        <w:tabs>
          <w:tab w:val="left" w:pos="0" w:leader="none"/>
          <w:tab w:val="left" w:pos="720" w:leader="none"/>
        </w:tabs>
        <w:spacing w:lineRule="atLeast" w:line="240"/>
        <w:ind w:hanging="0" w:start="0" w:end="0"/>
        <w:jc w:val="both"/>
        <w:rPr>
          <w:sz w:val="24"/>
        </w:rPr>
      </w:pPr>
      <w:r>
        <w:rPr>
          <w:sz w:val="24"/>
        </w:rPr>
        <w:t>Clarifying the treatment of collateral that is posted as either the Fixed Independent Amount or the Partial Floating Independent Amount in the Collateral Annex and whether it needs to be made clear which Paragraphs apply and which Paragraphs do not apply.  Also, if either of these options exists, both parties may act as a Pledging Party and a Secured Party.  If this occurs, does the Collateral Annex as written work.</w:t>
      </w:r>
    </w:p>
    <w:p>
      <w:pPr>
        <w:pStyle w:val="Normal"/>
        <w:tabs>
          <w:tab w:val="left" w:pos="0" w:leader="none"/>
          <w:tab w:val="left" w:pos="720" w:leader="none"/>
        </w:tabs>
        <w:spacing w:lineRule="atLeast" w:line="240"/>
        <w:jc w:val="both"/>
        <w:rPr>
          <w:sz w:val="24"/>
        </w:rPr>
      </w:pPr>
      <w:r>
        <w:rPr>
          <w:sz w:val="24"/>
        </w:rPr>
      </w:r>
    </w:p>
    <w:p>
      <w:pPr>
        <w:pStyle w:val="Normal"/>
        <w:numPr>
          <w:ilvl w:val="0"/>
          <w:numId w:val="2"/>
        </w:numPr>
        <w:tabs>
          <w:tab w:val="left" w:pos="0" w:leader="none"/>
          <w:tab w:val="left" w:pos="720" w:leader="none"/>
        </w:tabs>
        <w:spacing w:lineRule="atLeast" w:line="240"/>
        <w:ind w:hanging="0" w:start="0" w:end="0"/>
        <w:jc w:val="both"/>
        <w:rPr>
          <w:sz w:val="24"/>
        </w:rPr>
      </w:pPr>
      <w:r>
        <w:rPr>
          <w:sz w:val="24"/>
        </w:rPr>
        <w:t>We have not changed any of the ratings tests that are part of certain defined terms such as Letter of Credit, Letter of Credit Default, Credit Rating Event or Qualified Institution.</w:t>
      </w:r>
    </w:p>
    <w:p>
      <w:pPr>
        <w:pStyle w:val="Normal"/>
        <w:tabs>
          <w:tab w:val="left" w:pos="0" w:leader="none"/>
          <w:tab w:val="left" w:pos="720" w:leader="none"/>
        </w:tabs>
        <w:spacing w:lineRule="atLeast" w:line="240"/>
        <w:jc w:val="both"/>
        <w:rPr>
          <w:sz w:val="24"/>
        </w:rPr>
      </w:pPr>
      <w:r>
        <w:rPr>
          <w:sz w:val="24"/>
        </w:rPr>
      </w:r>
    </w:p>
    <w:p>
      <w:pPr>
        <w:pStyle w:val="Normal"/>
        <w:numPr>
          <w:ilvl w:val="0"/>
          <w:numId w:val="2"/>
        </w:numPr>
        <w:tabs>
          <w:tab w:val="left" w:pos="0" w:leader="none"/>
          <w:tab w:val="left" w:pos="720" w:leader="none"/>
        </w:tabs>
        <w:spacing w:lineRule="atLeast" w:line="240"/>
        <w:ind w:hanging="0" w:start="0" w:end="0"/>
        <w:jc w:val="both"/>
        <w:rPr>
          <w:sz w:val="24"/>
        </w:rPr>
      </w:pPr>
      <w:r>
        <w:rPr>
          <w:sz w:val="24"/>
        </w:rPr>
        <w:t>We have not added language to Paragraph 8 that addresses what happens if quotes cannot be obtained.  Our view is that arbitration then applies.</w:t>
      </w:r>
    </w:p>
    <w:p>
      <w:pPr>
        <w:pStyle w:val="Normal"/>
        <w:tabs>
          <w:tab w:val="left" w:pos="0" w:leader="none"/>
          <w:tab w:val="left" w:pos="720" w:leader="none"/>
        </w:tabs>
        <w:spacing w:lineRule="atLeast" w:line="240"/>
        <w:jc w:val="both"/>
        <w:rPr>
          <w:sz w:val="24"/>
        </w:rPr>
      </w:pPr>
      <w:r>
        <w:rPr>
          <w:sz w:val="24"/>
        </w:rPr>
      </w:r>
    </w:p>
    <w:p>
      <w:pPr>
        <w:pStyle w:val="Normal"/>
        <w:numPr>
          <w:ilvl w:val="0"/>
          <w:numId w:val="2"/>
        </w:numPr>
        <w:tabs>
          <w:tab w:val="left" w:pos="0" w:leader="none"/>
          <w:tab w:val="left" w:pos="720" w:leader="none"/>
        </w:tabs>
        <w:spacing w:lineRule="atLeast" w:line="240"/>
        <w:ind w:hanging="0" w:start="0" w:end="0"/>
        <w:jc w:val="both"/>
        <w:rPr>
          <w:sz w:val="24"/>
        </w:rPr>
      </w:pPr>
      <w:r>
        <w:rPr>
          <w:sz w:val="24"/>
        </w:rPr>
        <w:t>We have not added a separate definition for Notification Time for disputes.</w:t>
      </w:r>
    </w:p>
    <w:p>
      <w:pPr>
        <w:pStyle w:val="Normal"/>
        <w:tabs>
          <w:tab w:val="left" w:pos="0" w:leader="none"/>
          <w:tab w:val="left" w:pos="720" w:leader="none"/>
        </w:tabs>
        <w:spacing w:lineRule="atLeast" w:line="240"/>
        <w:jc w:val="both"/>
        <w:rPr>
          <w:sz w:val="24"/>
        </w:rPr>
      </w:pPr>
      <w:r>
        <w:rPr>
          <w:sz w:val="24"/>
        </w:rPr>
      </w:r>
    </w:p>
    <w:p>
      <w:pPr>
        <w:pStyle w:val="Normal"/>
        <w:numPr>
          <w:ilvl w:val="0"/>
          <w:numId w:val="2"/>
        </w:numPr>
        <w:tabs>
          <w:tab w:val="left" w:pos="0" w:leader="none"/>
          <w:tab w:val="left" w:pos="720" w:leader="none"/>
        </w:tabs>
        <w:spacing w:lineRule="atLeast" w:line="240"/>
        <w:ind w:hanging="0" w:start="0" w:end="0"/>
        <w:jc w:val="both"/>
        <w:rPr>
          <w:sz w:val="24"/>
        </w:rPr>
      </w:pPr>
      <w:r>
        <w:rPr>
          <w:sz w:val="24"/>
        </w:rPr>
        <w:t>We have not added to the definition of Letter of Credit that requires it to be acceptable to the Secured Party.</w:t>
      </w:r>
    </w:p>
    <w:p>
      <w:pPr>
        <w:pStyle w:val="Normal"/>
        <w:tabs>
          <w:tab w:val="left" w:pos="0" w:leader="none"/>
          <w:tab w:val="left" w:pos="720" w:leader="none"/>
        </w:tabs>
        <w:spacing w:lineRule="atLeast" w:line="240"/>
        <w:jc w:val="both"/>
        <w:rPr>
          <w:sz w:val="24"/>
        </w:rPr>
      </w:pPr>
      <w:r>
        <w:rPr>
          <w:sz w:val="24"/>
        </w:rPr>
      </w:r>
    </w:p>
    <w:p>
      <w:pPr>
        <w:pStyle w:val="Normal"/>
        <w:numPr>
          <w:ilvl w:val="0"/>
          <w:numId w:val="2"/>
        </w:numPr>
        <w:tabs>
          <w:tab w:val="left" w:pos="0" w:leader="none"/>
          <w:tab w:val="left" w:pos="720" w:leader="none"/>
        </w:tabs>
        <w:spacing w:lineRule="atLeast" w:line="240"/>
        <w:ind w:hanging="0" w:start="0" w:end="0"/>
        <w:jc w:val="both"/>
        <w:rPr>
          <w:sz w:val="24"/>
        </w:rPr>
      </w:pPr>
      <w:r>
        <w:rPr>
          <w:sz w:val="24"/>
        </w:rPr>
        <w:t>We have not changed the definition of LC issuer to make it the same as Qualified Institution.</w:t>
      </w:r>
    </w:p>
    <w:p>
      <w:pPr>
        <w:pStyle w:val="Normal"/>
        <w:tabs>
          <w:tab w:val="left" w:pos="0" w:leader="none"/>
          <w:tab w:val="left" w:pos="720" w:leader="none"/>
        </w:tabs>
        <w:spacing w:lineRule="atLeast" w:line="240"/>
        <w:jc w:val="both"/>
        <w:rPr>
          <w:sz w:val="24"/>
        </w:rPr>
      </w:pPr>
      <w:r>
        <w:rPr>
          <w:sz w:val="24"/>
        </w:rPr>
      </w:r>
    </w:p>
    <w:p>
      <w:pPr>
        <w:pStyle w:val="Normal"/>
        <w:numPr>
          <w:ilvl w:val="0"/>
          <w:numId w:val="2"/>
        </w:numPr>
        <w:tabs>
          <w:tab w:val="left" w:pos="0" w:leader="none"/>
          <w:tab w:val="left" w:pos="720" w:leader="none"/>
        </w:tabs>
        <w:spacing w:lineRule="atLeast" w:line="240"/>
        <w:ind w:hanging="0" w:start="0" w:end="0"/>
        <w:jc w:val="both"/>
        <w:rPr>
          <w:sz w:val="24"/>
        </w:rPr>
      </w:pPr>
      <w:r>
        <w:rPr>
          <w:sz w:val="24"/>
        </w:rPr>
        <w:t>We have not added to the definition of Interruption Event in the form of LC the concept of terrorist attack.</w:t>
      </w:r>
    </w:p>
    <w:p>
      <w:pPr>
        <w:pStyle w:val="Normal"/>
        <w:tabs>
          <w:tab w:val="left" w:pos="0" w:leader="none"/>
          <w:tab w:val="left" w:pos="720" w:leader="none"/>
        </w:tabs>
        <w:spacing w:lineRule="atLeast" w:line="240"/>
        <w:jc w:val="both"/>
        <w:rPr>
          <w:sz w:val="24"/>
        </w:rPr>
      </w:pPr>
      <w:r>
        <w:rPr>
          <w:sz w:val="24"/>
        </w:rPr>
      </w:r>
    </w:p>
    <w:p>
      <w:pPr>
        <w:pStyle w:val="Normal"/>
        <w:numPr>
          <w:ilvl w:val="0"/>
          <w:numId w:val="2"/>
        </w:numPr>
        <w:tabs>
          <w:tab w:val="left" w:pos="0" w:leader="none"/>
          <w:tab w:val="left" w:pos="720" w:leader="none"/>
        </w:tabs>
        <w:spacing w:lineRule="atLeast" w:line="240"/>
        <w:ind w:hanging="0" w:start="0" w:end="0"/>
        <w:jc w:val="both"/>
        <w:rPr>
          <w:sz w:val="24"/>
        </w:rPr>
      </w:pPr>
      <w:r>
        <w:rPr>
          <w:sz w:val="24"/>
        </w:rPr>
        <w:t>We did not delete the “mid-point” language in the definition of Current Mark-to-Market Value.</w:t>
      </w:r>
    </w:p>
    <w:p>
      <w:pPr>
        <w:pStyle w:val="Normal"/>
        <w:tabs>
          <w:tab w:val="left" w:pos="0" w:leader="none"/>
          <w:tab w:val="left" w:pos="720" w:leader="none"/>
        </w:tabs>
        <w:spacing w:lineRule="atLeast" w:line="240"/>
        <w:jc w:val="both"/>
        <w:rPr>
          <w:sz w:val="24"/>
        </w:rPr>
      </w:pPr>
      <w:r>
        <w:rPr>
          <w:sz w:val="24"/>
        </w:rPr>
      </w:r>
    </w:p>
    <w:p>
      <w:pPr>
        <w:pStyle w:val="Normal"/>
        <w:numPr>
          <w:ilvl w:val="0"/>
          <w:numId w:val="2"/>
        </w:numPr>
        <w:tabs>
          <w:tab w:val="left" w:pos="0" w:leader="none"/>
          <w:tab w:val="left" w:pos="720" w:leader="none"/>
        </w:tabs>
        <w:spacing w:lineRule="atLeast" w:line="240"/>
        <w:ind w:hanging="0" w:start="0" w:end="0"/>
        <w:jc w:val="both"/>
        <w:rPr>
          <w:sz w:val="24"/>
        </w:rPr>
      </w:pPr>
      <w:r>
        <w:rPr>
          <w:sz w:val="24"/>
        </w:rPr>
        <w:t>We have not added to Paragraph 6(b)(iii) a requirement that requires notice from the Secured Party of an LC Default.</w:t>
      </w:r>
    </w:p>
    <w:p>
      <w:pPr>
        <w:pStyle w:val="Normal"/>
        <w:tabs>
          <w:tab w:val="left" w:pos="0" w:leader="none"/>
          <w:tab w:val="left" w:pos="720" w:leader="none"/>
        </w:tabs>
        <w:spacing w:lineRule="atLeast" w:line="240"/>
        <w:jc w:val="both"/>
        <w:rPr>
          <w:sz w:val="24"/>
        </w:rPr>
      </w:pPr>
      <w:r>
        <w:rPr>
          <w:sz w:val="24"/>
        </w:rPr>
      </w:r>
    </w:p>
    <w:p>
      <w:pPr>
        <w:pStyle w:val="Normal"/>
        <w:tabs>
          <w:tab w:val="left" w:pos="0" w:leader="none"/>
          <w:tab w:val="left" w:pos="720" w:leader="none"/>
        </w:tabs>
        <w:spacing w:lineRule="atLeast" w:line="240"/>
        <w:jc w:val="both"/>
        <w:rPr>
          <w:sz w:val="24"/>
        </w:rPr>
      </w:pPr>
      <w:r>
        <w:rPr>
          <w:sz w:val="24"/>
        </w:rPr>
        <w:t>10.</w:t>
        <w:tab/>
        <w:t>We have changed very few time periods for taking action under the Collateral Annex since this was discussed in the last meeting.</w:t>
      </w:r>
    </w:p>
    <w:sectPr>
      <w:type w:val="nextPage"/>
      <w:pgSz w:w="12240" w:h="15840"/>
      <w:pgMar w:left="1440" w:right="1440" w:gutter="0" w:header="0" w:top="1440" w:footer="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0"/>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
    <w:qFormat/>
    <w:pPr>
      <w:keepNext w:val="true"/>
      <w:numPr>
        <w:ilvl w:val="2"/>
        <w:numId w:val="1"/>
      </w:numPr>
      <w:outlineLvl w:val="2"/>
    </w:pPr>
    <w:rPr>
      <w:rFonts w:ascii="Times New Roman" w:hAnsi="Times New Roman" w:cs="Times New Roman"/>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1344" w:leader="none"/>
        <w:tab w:val="left" w:pos="5106" w:leader="none"/>
        <w:tab w:val="left" w:pos="7254" w:leader="none"/>
      </w:tabs>
      <w:jc w:val="both"/>
    </w:pPr>
    <w:rPr>
      <w:rFonts w:ascii="Times New Roman" w:hAnsi="Times New Roman" w:cs="Times New Roman"/>
      <w:sz w:val="24"/>
    </w:rPr>
  </w:style>
  <w:style w:type="paragraph" w:styleId="BodyText3">
    <w:name w:val="Body Text 3"/>
    <w:basedOn w:val="Normal"/>
    <w:qFormat/>
    <w:pPr>
      <w:tabs>
        <w:tab w:val="left" w:pos="720" w:leader="none"/>
      </w:tabs>
      <w:spacing w:lineRule="atLeast" w:line="24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2001-11-07T22:02:00Z</dcterms:created>
  <dc:creator>Deborah Korkmas</dc:creator>
  <dc:description/>
  <dc:language>en-CA</dc:language>
  <cp:lastModifiedBy>cstclai</cp:lastModifiedBy>
  <cp:lastPrinted>2001-11-07T18:56:00Z</cp:lastPrinted>
  <dcterms:modified xsi:type="dcterms:W3CDTF">2001-11-07T22:27:00Z</dcterms:modified>
  <cp:revision>3</cp:revision>
  <dc:subject/>
  <dc:title>Form of Memo</dc:title>
</cp:coreProperties>
</file>