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2056503221"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tab/>
          </w:r>
          <w:hyperlink w:anchor="__RefHeading___Toc498847224">
            <w:r>
              <w:rPr>
                <w:rStyle w:val="IndexLink"/>
                <w:caps/>
                <w:lang w:val="en-CA" w:eastAsia="en-CA"/>
              </w:rPr>
              <w:t>1</w:t>
            </w:r>
          </w:hyperlink>
        </w:p>
        <w:p>
          <w:pPr>
            <w:pStyle w:val="TOC1"/>
            <w:rPr/>
          </w:pPr>
          <w:r>
            <w:rPr/>
            <w:t>GENERAL TERMS AND CONDITIONS</w:t>
            <w:tab/>
          </w:r>
          <w:hyperlink w:anchor="__RefHeading__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98847226">
            <w:r>
              <w:rPr>
                <w:rStyle w:val="IndexLink"/>
              </w:rPr>
              <w:t>7</w:t>
            </w:r>
          </w:hyperlink>
        </w:p>
        <w:p>
          <w:pPr>
            <w:pStyle w:val="TOC1"/>
            <w:tabs>
              <w:tab w:val="left" w:pos="1680" w:leader="none"/>
              <w:tab w:val="left" w:pos="2160" w:leader="none"/>
              <w:tab w:val="right" w:pos="9360" w:leader="dot"/>
            </w:tabs>
            <w:rPr/>
          </w:pPr>
          <w:r>
            <w:rPr/>
            <w:t>ARTICLE TWO:</w:t>
            <w:tab/>
            <w:t>TRANSACTION TERMS AND CONDITIONS</w:t>
            <w:tab/>
          </w:r>
          <w:hyperlink w:anchor="__RefHeading___Toc498847227">
            <w:r>
              <w:rPr>
                <w:rStyle w:val="IndexLink"/>
              </w:rPr>
              <w:t>13</w:t>
            </w:r>
          </w:hyperlink>
        </w:p>
        <w:p>
          <w:pPr>
            <w:pStyle w:val="TOC2"/>
            <w:rPr/>
          </w:pPr>
          <w:r>
            <w:rPr/>
            <w:t>2.1</w:t>
            <w:tab/>
            <w:t>Transactions</w:t>
            <w:tab/>
          </w:r>
          <w:hyperlink w:anchor="__RefHeading___Toc498847228">
            <w:r>
              <w:rPr>
                <w:rStyle w:val="IndexLink"/>
              </w:rPr>
              <w:t>13</w:t>
            </w:r>
          </w:hyperlink>
        </w:p>
        <w:p>
          <w:pPr>
            <w:pStyle w:val="TOC2"/>
            <w:rPr/>
          </w:pPr>
          <w:r>
            <w:rPr/>
            <w:t>2.2</w:t>
            <w:tab/>
            <w:t>Governing Terms</w:t>
            <w:tab/>
          </w:r>
          <w:hyperlink w:anchor="__RefHeading___Toc498847229">
            <w:r>
              <w:rPr>
                <w:rStyle w:val="IndexLink"/>
              </w:rPr>
              <w:t>13</w:t>
            </w:r>
          </w:hyperlink>
        </w:p>
        <w:p>
          <w:pPr>
            <w:pStyle w:val="TOC2"/>
            <w:rPr/>
          </w:pPr>
          <w:r>
            <w:rPr/>
            <w:t>2.3</w:t>
            <w:tab/>
            <w:t>Confirmation</w:t>
            <w:tab/>
          </w:r>
          <w:hyperlink w:anchor="__RefHeading___Toc498847230">
            <w:r>
              <w:rPr>
                <w:rStyle w:val="IndexLink"/>
              </w:rPr>
              <w:t>13</w:t>
            </w:r>
          </w:hyperlink>
        </w:p>
        <w:p>
          <w:pPr>
            <w:pStyle w:val="TOC2"/>
            <w:rPr/>
          </w:pPr>
          <w:r>
            <w:rPr/>
            <w:t>2.4</w:t>
            <w:tab/>
            <w:t>Additional Confirmation Terms</w:t>
            <w:tab/>
          </w:r>
          <w:hyperlink w:anchor="__RefHeading___Toc498847231">
            <w:r>
              <w:rPr>
                <w:rStyle w:val="IndexLink"/>
              </w:rPr>
              <w:t>13</w:t>
            </w:r>
          </w:hyperlink>
        </w:p>
        <w:p>
          <w:pPr>
            <w:pStyle w:val="TOC2"/>
            <w:rPr/>
          </w:pPr>
          <w:r>
            <w:rPr/>
            <w:t>2.5</w:t>
            <w:tab/>
            <w:t>Recording</w:t>
            <w:tab/>
          </w:r>
          <w:hyperlink w:anchor="__RefHeading___Toc498847232">
            <w:r>
              <w:rPr>
                <w:rStyle w:val="IndexLink"/>
              </w:rPr>
              <w:t>14</w:t>
            </w:r>
          </w:hyperlink>
        </w:p>
        <w:p>
          <w:pPr>
            <w:pStyle w:val="TOC1"/>
            <w:tabs>
              <w:tab w:val="left" w:pos="1920" w:leader="none"/>
              <w:tab w:val="left" w:pos="2160" w:leader="none"/>
              <w:tab w:val="right" w:pos="9360" w:leader="dot"/>
            </w:tabs>
            <w:rPr/>
          </w:pPr>
          <w:r>
            <w:rPr/>
            <w:t>ARTICLE THREE:</w:t>
            <w:tab/>
            <w:t>OBLIGATIONS AND DELIVERIES</w:t>
            <w:tab/>
          </w:r>
          <w:hyperlink w:anchor="__RefHeading___Toc498847233">
            <w:r>
              <w:rPr>
                <w:rStyle w:val="IndexLink"/>
              </w:rPr>
              <w:t>14</w:t>
            </w:r>
          </w:hyperlink>
        </w:p>
        <w:p>
          <w:pPr>
            <w:pStyle w:val="TOC2"/>
            <w:rPr/>
          </w:pPr>
          <w:r>
            <w:rPr/>
            <w:t>3.1</w:t>
            <w:tab/>
            <w:t>Seller’s and Buyer’s Obligations</w:t>
            <w:tab/>
          </w:r>
          <w:hyperlink w:anchor="__RefHeading___Toc498847234">
            <w:r>
              <w:rPr>
                <w:rStyle w:val="IndexLink"/>
              </w:rPr>
              <w:t>14</w:t>
            </w:r>
          </w:hyperlink>
        </w:p>
        <w:p>
          <w:pPr>
            <w:pStyle w:val="TOC2"/>
            <w:rPr/>
          </w:pPr>
          <w:r>
            <w:rPr/>
            <w:t>3.2</w:t>
            <w:tab/>
            <w:t>Transmission and Scheduling</w:t>
            <w:tab/>
          </w:r>
          <w:hyperlink w:anchor="__RefHeading___Toc498847235">
            <w:r>
              <w:rPr>
                <w:rStyle w:val="IndexLink"/>
              </w:rPr>
              <w:t>14</w:t>
            </w:r>
          </w:hyperlink>
        </w:p>
        <w:p>
          <w:pPr>
            <w:pStyle w:val="TOC2"/>
            <w:rPr/>
          </w:pPr>
          <w:r>
            <w:rPr/>
            <w:t>3.3</w:t>
            <w:tab/>
            <w:t>Force Majeure</w:t>
            <w:tab/>
          </w:r>
          <w:hyperlink w:anchor="__RefHeading___Toc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17</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17</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18</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19</w:t>
            </w:r>
          </w:hyperlink>
        </w:p>
        <w:p>
          <w:pPr>
            <w:pStyle w:val="TOC2"/>
            <w:rPr/>
          </w:pPr>
          <w:r>
            <w:rPr/>
            <w:t>6.7</w:t>
            <w:tab/>
            <w:t>Payment for Options</w:t>
            <w:tab/>
          </w:r>
          <w:hyperlink w:anchor="__RefHeading___Toc498847255">
            <w:r>
              <w:rPr>
                <w:rStyle w:val="IndexLink"/>
              </w:rPr>
              <w:t>19</w:t>
            </w:r>
          </w:hyperlink>
        </w:p>
        <w:p>
          <w:pPr>
            <w:pStyle w:val="TOC2"/>
            <w:rPr/>
          </w:pPr>
          <w:r>
            <w:rPr/>
            <w:t>6.8</w:t>
            <w:tab/>
            <w:t>Transaction Netting</w:t>
            <w:tab/>
          </w:r>
          <w:hyperlink w:anchor="__RefHeading___Toc498847256">
            <w:r>
              <w:rPr>
                <w:rStyle w:val="IndexLink"/>
              </w:rPr>
              <w:t>20</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22</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25</w:t>
            </w:r>
          </w:hyperlink>
        </w:p>
        <w:p>
          <w:pPr>
            <w:pStyle w:val="TOC2"/>
            <w:rPr/>
          </w:pPr>
          <w:r>
            <w:rPr/>
            <w:t>10.1</w:t>
            <w:tab/>
            <w:t>Term of Master Agreement</w:t>
            <w:tab/>
          </w:r>
          <w:hyperlink w:anchor="__RefHeading___Toc498847268">
            <w:r>
              <w:rPr>
                <w:rStyle w:val="IndexLink"/>
              </w:rPr>
              <w:t>25</w:t>
            </w:r>
          </w:hyperlink>
        </w:p>
        <w:p>
          <w:pPr>
            <w:pStyle w:val="TOC2"/>
            <w:rPr/>
          </w:pPr>
          <w:r>
            <w:rPr/>
            <w:t>10.2</w:t>
            <w:tab/>
            <w:t>Representations and Warranties</w:t>
            <w:tab/>
          </w:r>
          <w:hyperlink w:anchor="__RefHeading___Toc498847269">
            <w:r>
              <w:rPr>
                <w:rStyle w:val="IndexLink"/>
              </w:rPr>
              <w:t>25</w:t>
            </w:r>
          </w:hyperlink>
        </w:p>
        <w:p>
          <w:pPr>
            <w:pStyle w:val="TOC2"/>
            <w:rPr/>
          </w:pPr>
          <w:r>
            <w:rPr/>
            <w:t>10.3</w:t>
            <w:tab/>
            <w:t>Title and Risk of Loss</w:t>
            <w:tab/>
          </w:r>
          <w:hyperlink w:anchor="__RefHeading___Toc498847270">
            <w:r>
              <w:rPr>
                <w:rStyle w:val="IndexLink"/>
              </w:rPr>
              <w:t>27</w:t>
            </w:r>
          </w:hyperlink>
        </w:p>
        <w:p>
          <w:pPr>
            <w:pStyle w:val="TOC2"/>
            <w:rPr/>
          </w:pPr>
          <w:r>
            <w:rPr/>
            <w:t>10.4</w:t>
            <w:tab/>
            <w:t>Indemnity</w:t>
            <w:tab/>
          </w:r>
          <w:hyperlink w:anchor="__RefHeading___Toc498847271">
            <w:r>
              <w:rPr>
                <w:rStyle w:val="IndexLink"/>
              </w:rPr>
              <w:t>27</w:t>
            </w:r>
          </w:hyperlink>
        </w:p>
        <w:p>
          <w:pPr>
            <w:pStyle w:val="TOC2"/>
            <w:rPr/>
          </w:pPr>
          <w:r>
            <w:rPr/>
            <w:t>10.5</w:t>
            <w:tab/>
            <w:t>Assignment</w:t>
            <w:tab/>
          </w:r>
          <w:hyperlink w:anchor="__RefHeading___Toc498847272">
            <w:r>
              <w:rPr>
                <w:rStyle w:val="IndexLink"/>
              </w:rPr>
              <w:t>27</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29</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29</w:t>
            </w:r>
          </w:hyperlink>
        </w:p>
        <w:p>
          <w:pPr>
            <w:pStyle w:val="TOC2"/>
            <w:rPr/>
          </w:pPr>
          <w:r>
            <w:rPr/>
            <w:t>10.12</w:t>
            <w:tab/>
            <w:t>Currency Conversions</w:t>
            <w:tab/>
          </w:r>
          <w:hyperlink w:anchor="__RefHeading___Toc498847279">
            <w:r>
              <w:rPr>
                <w:rStyle w:val="IndexLink"/>
              </w:rPr>
              <w:t>29</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98847224"/>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98847225"/>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98847226"/>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 xml:space="preserve">Bankrupt” means, with respect to any entity, such entity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(v) be unable to pay its debts as they fall due; or (vi) have had this Agreement, any Transaction hereunder or any other agreement (including Performance Assurance or guaranties) related hereto terminated or deemed to be terminated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 xml:space="preserve">Companies’ Creditors Arrangement Act </w:t>
      </w:r>
      <w:r>
        <w:rPr/>
        <w:t xml:space="preserve"> (Canada) or the </w:t>
      </w:r>
      <w:r>
        <w:rPr>
          <w:i/>
          <w:u w:val="single"/>
        </w:rPr>
        <w:t>Winding-up and Restructuring Act</w:t>
      </w:r>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p>
    <w:p>
      <w:pPr>
        <w:pStyle w:val="Heading2"/>
        <w:ind w:hanging="0" w:start="0"/>
        <w:rPr/>
      </w:pPr>
      <w:r>
        <w:rPr/>
        <w:t>“</w:t>
      </w:r>
      <w:r>
        <w:rPr/>
        <w:t>Business Day” means any day except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legal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$CDN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legal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Force Majeure” means an event or circumstance occurring only at the Delivery Point(s)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GST” means the Goods and Services Tax imposed pursuant to the </w:t>
      </w:r>
      <w:r>
        <w:rPr>
          <w:i/>
        </w:rPr>
        <w:t xml:space="preserve">Excise Tax Act </w:t>
      </w:r>
      <w:r>
        <w:rPr/>
        <w:t>(Canada), as amended, restated, replaced, re-enacted or otherwise modified from time to time.</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B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pPr>
      <w:r>
        <w:rPr/>
        <w:t>“</w:t>
      </w:r>
      <w:r>
        <w:rPr/>
        <w:t>Letter(s) of Credit” means one or more irrevocable, transferable standby letters of credit issued or confirmed by a Schedule I chartered bank in Canada having a credit rating of at least A- from S&amp;P or A3 from Moody’s, in a form acceptable to the Party in whose favour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one or more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or other charges (including any additional transmission, location differential, transmission loss or transmission congestion charges, or costs incurred for otherwise complying with any resulting prudential support or other requirements),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or other charges (including any additional transmission, location differential, transmission loss or transmission congestion charges, or costs incurred for otherwise complying with any resulting prudential support or other requirements),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(including, where necessary, the submission of all direct sales, bilateral physical dispatch and other transactional and delivery and receipt information)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Heading2"/>
        <w:ind w:hanging="0" w:start="0"/>
        <w:rPr/>
      </w:pPr>
      <w:r>
        <w:rPr/>
        <w:t>“</w:t>
      </w:r>
      <w:r>
        <w:rPr/>
        <w:t>Settlement Amount” means, with respect to a Transaction and the Non-Defaulting Party, the Losses or Gains, and Costs, expressed in Canadian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98847227"/>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98847228"/>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98847229"/>
      <w:bookmarkEnd w:id="6"/>
      <w:r>
        <w:rPr/>
        <w:t>.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favour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98847230"/>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98847231"/>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98847232"/>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98847233"/>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98847234"/>
      <w:bookmarkEnd w:id="11"/>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(including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all transmission costs and charges, competition transition charges, debt reduction charges, control area services charges, inadvertent energy flows and transmission losses, loss charges, fees and uplift charges).</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98847235"/>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98847236"/>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98847237"/>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98847238"/>
      <w:bookmarkEnd w:id="15"/>
      <w:r>
        <w:rPr/>
        <w:t>.  If Seller fails to Schedule and/or deliver or cause to be delivered all or part of the Product pursuant to a Transaction, and such failure is not excused under the terms of the Product or by Buyer’s failure to perform, then Seller shall pay Buyer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98847239"/>
      <w:bookmarkEnd w:id="16"/>
      <w:r>
        <w:rPr/>
        <w:t>.  If Buyer fails to Schedule and/or receive or cause to be received all or part of the Product pursuant to a Transaction and such failure is not excused under the terms of the Product or by Seller’s failure to perform, then Buyer shall pay Seller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98847240"/>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98847241"/>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98847242"/>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98847243"/>
      <w:bookmarkEnd w:id="20"/>
      <w:r>
        <w:rPr/>
        <w:t>.  The Non-Defaulting Party shall aggregate all Settlement Amounts into a single amount by:  netting out (a) all Settlement Amounts that are due to the Defaulting Party, plus, at the option of the Non-Defaulting Party, any Performance Assurance or form of security or collateral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98847244"/>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98847245"/>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98847246"/>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98847247"/>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98847248"/>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98847249"/>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98847250"/>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98847251"/>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98847252"/>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liquidated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98847253"/>
      <w:bookmarkEnd w:id="30"/>
      <w:r>
        <w:rPr/>
        <w:t xml:space="preserve">.  If no mutual debts or payment obligations exist and only one Party owes a debt or obligation to the other during the monthly billing period, including, but not limited to, any related liquidated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98847254"/>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98847255"/>
      <w:bookmarkEnd w:id="32"/>
      <w:r>
        <w:rPr/>
        <w:t>.  Unless specified otherwise in a Confirmation,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98847256"/>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98847257"/>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98847258"/>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OF THIS AGREEMENT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EQUITY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98847259"/>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98847260"/>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98847261"/>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98847262"/>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98847263"/>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98847264"/>
      <w:bookmarkEnd w:id="41"/>
      <w:r>
        <w:rPr/>
        <w:t>.  Each Party shall use reasonable efforts to implement the provisions of and to administer this Master Agreement in accordance with the intent of the parties to minimize all taxes,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98847265"/>
      <w:bookmarkEnd w:id="42"/>
      <w:r>
        <w:rPr/>
        <w:t>.  Seller shall pay or cause to be paid, or reimburse Buyer if Buyer has paid, all Taxes imposed by any government authority (“Governmental Charges”) on or with respect to the Product or a Transaction arising prior to the Delivery Point.  Buyer shall pay or cause to be paid, or reimburse Seller if Seller has paid, all Governmental Charges on or with respect to the Product or a Transaction at and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pPr>
      <w:r>
        <w:rPr>
          <w:u w:val="single"/>
        </w:rPr>
        <w:t>GST</w:t>
      </w:r>
      <w:r>
        <w:fldChar w:fldCharType="begin"/>
      </w:r>
      <w:r>
        <w:rPr/>
        <w:instrText xml:space="preserve"> TC "9.3</w:instrText>
        <w:tab/>
        <w:instrText xml:space="preserve">GST" \l 2 </w:instrText>
      </w:r>
      <w:r>
        <w:rPr/>
        <w:fldChar w:fldCharType="separate"/>
      </w:r>
      <w:r>
        <w:rPr/>
      </w:r>
      <w:r>
        <w:rPr/>
        <w:fldChar w:fldCharType="end"/>
      </w:r>
      <w:bookmarkStart w:id="43" w:name="__RefHeading___Toc498847266"/>
      <w:bookmarkEnd w:id="43"/>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4" w:name="__RefHeading___Toc498847267"/>
      <w:bookmarkEnd w:id="44"/>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5" w:name="__RefHeading___Toc498847268"/>
      <w:bookmarkEnd w:id="45"/>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6" w:name="__RefHeading___Toc498847269"/>
      <w:bookmarkEnd w:id="46"/>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Order Doc. #394043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7" w:name="__RefHeading___Toc498847270"/>
      <w:bookmarkEnd w:id="47"/>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8" w:name="__RefHeading___Toc498847271"/>
      <w:bookmarkEnd w:id="48"/>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9" w:name="__RefHeading___Toc498847272"/>
      <w:bookmarkEnd w:id="49"/>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50" w:name="__RefHeading___Toc498847273"/>
      <w:bookmarkEnd w:id="50"/>
      <w:r>
        <w:rPr/>
        <w:t xml:space="preserve">.  This Agreement and the rights and duties of the Parties hereunder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1" w:name="__RefHeading___Toc498847274"/>
      <w:bookmarkEnd w:id="51"/>
      <w:r>
        <w:rPr/>
        <w:t>.  All notices, requests, statements or payments shall be made as specified in the Cover Sheet.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commencement of business on the next Business Day.  Notice by overnight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2" w:name="__RefHeading___Toc498847275"/>
      <w:bookmarkEnd w:id="52"/>
      <w:r>
        <w:rPr/>
        <w:t>.  This Master Agreement (including the exhibits, schedules and any written supplements hereto), the Party A Tariff, if any, the Party B Tariff, if any, any Performance Assurance or other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Performance Assurance or other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3" w:name="__RefHeading___Toc498847276"/>
      <w:bookmarkEnd w:id="53"/>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Eligible Financial Contract</w:t>
      </w:r>
      <w:r>
        <w:fldChar w:fldCharType="begin"/>
      </w:r>
      <w:r>
        <w:rPr/>
        <w:instrText xml:space="preserve"> TC "10.10</w:instrText>
        <w:tab/>
        <w:instrText xml:space="preserve">Eligible Financial Contract" \l 2 </w:instrText>
      </w:r>
      <w:r>
        <w:rPr/>
        <w:fldChar w:fldCharType="separate"/>
      </w:r>
      <w:r>
        <w:rPr/>
      </w:r>
      <w:r>
        <w:rPr/>
        <w:fldChar w:fldCharType="end"/>
      </w:r>
      <w:bookmarkStart w:id="54" w:name="__RefHeading___Toc498847277"/>
      <w:bookmarkEnd w:id="54"/>
      <w:r>
        <w:rPr/>
        <w:t xml:space="preserve">.  This Agreement, including all Transactions 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(in any case,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ind w:hanging="0" w:start="0"/>
        <w:rPr/>
      </w:pPr>
      <w:bookmarkStart w:id="55" w:name="DocXparanum"/>
      <w:bookmarkEnd w:id="55"/>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6" w:name="__RefHeading___Toc498847278"/>
      <w:bookmarkEnd w:id="56"/>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u w:val="single"/>
        </w:rPr>
        <w:t>Currency Conversions</w:t>
      </w:r>
      <w:r>
        <w:fldChar w:fldCharType="begin"/>
      </w:r>
      <w:r>
        <w:rPr/>
        <w:instrText xml:space="preserve"> TC "10.12</w:instrText>
        <w:tab/>
        <w:instrText xml:space="preserve">Currency Conversions" \l 2 </w:instrText>
      </w:r>
      <w:r>
        <w:rPr/>
        <w:fldChar w:fldCharType="separate"/>
      </w:r>
      <w:r>
        <w:rPr/>
      </w:r>
      <w:r>
        <w:rPr/>
        <w:fldChar w:fldCharType="end"/>
      </w:r>
      <w:bookmarkStart w:id="57" w:name="__RefHeading___Toc498847279"/>
      <w:bookmarkEnd w:id="57"/>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2000-11-14T13:51:00Z</dcterms:created>
  <dc:creator>WordProcessing</dc:creator>
  <dc:description/>
  <dc:language>en-CA</dc:language>
  <cp:lastModifiedBy>gjohnst</cp:lastModifiedBy>
  <cp:lastPrinted>2000-11-14T15:39:00Z</cp:lastPrinted>
  <dcterms:modified xsi:type="dcterms:W3CDTF">2000-11-14T20:09:00Z</dcterms:modified>
  <cp:revision>22</cp:revision>
  <dc:subject/>
  <dc:title>  </dc:title>
</cp:coreProperties>
</file>