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P:  PRODUCTS AND RELATED DEFINITIONS</w:t>
      </w:r>
    </w:p>
    <w:p>
      <w:pPr>
        <w:pStyle w:val="Normal"/>
        <w:spacing w:lineRule="atLeast" w:line="240"/>
        <w:jc w:val="both"/>
        <w:rPr/>
      </w:pPr>
      <w:r>
        <w:rPr/>
        <w:t>"Firm (LD)" means, with respect to a Transaction, that either Party shall be relieved of its obligations to sell and deliver or purchase and receive without liability only to the extent that, and for the period during which, such performance is prevented by Force Majeure in accordance with the provisions of Section 3.3.  In the absence of Force Majeure or upon expiry thereof in accordance with Section 3.3, the Party to which performance is owed shall be entitled to receive from the Party which failed to deliver/receive an amount determined pursuant to Article Four.</w:t>
      </w:r>
      <w:r>
        <w:rPr>
          <w:color w:val="000000"/>
          <w:lang w:eastAsia="en-US"/>
        </w:rPr>
        <w:t xml:space="preserve"> </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With respect to “Firm (LD)” Transactions with an Ontario Delivery Point:</w:t>
      </w:r>
    </w:p>
    <w:p>
      <w:pPr>
        <w:pStyle w:val="Normal"/>
        <w:spacing w:lineRule="atLeast" w:line="240"/>
        <w:jc w:val="both"/>
        <w:rPr>
          <w:color w:val="000000"/>
          <w:lang w:eastAsia="en-US"/>
        </w:rPr>
      </w:pPr>
      <w:r>
        <w:rPr>
          <w:color w:val="000000"/>
          <w:lang w:eastAsia="en-US"/>
        </w:rPr>
        <w:t>a)</w:t>
        <w:tab/>
        <w:t xml:space="preserve">an event or circumstance shall be deemed to constitute Force Majeure only to the extent that the event or circumstance adversely affects the operation of the IMO or the IMO Administered Markets or the availability of the IMO-Controlled Grid such that the delivery or receipt of the Product cannot be made at any point on the IMO-Controlled Grid; and </w:t>
      </w:r>
    </w:p>
    <w:p>
      <w:pPr>
        <w:pStyle w:val="Normal"/>
        <w:spacing w:lineRule="atLeast" w:line="240"/>
        <w:jc w:val="both"/>
        <w:rPr>
          <w:color w:val="000000"/>
          <w:lang w:eastAsia="en-US"/>
        </w:rPr>
      </w:pPr>
      <w:r>
        <w:rPr>
          <w:color w:val="000000"/>
          <w:lang w:eastAsia="en-US"/>
        </w:rPr>
        <w:t>b)</w:t>
        <w:tab/>
        <w:t>the definition of "Replacement Price" in the Agreement shall be deleted and replaced with the following: "Replacement Price" means the applicable Market Price paid by Buyer to purchase in the IMO Administered Markets a replacement for any Product not delivered or caused to be delivered by Seller plus any additional costs reasonably incurred by Buyer in purchasing in the IMO Administered Markets such Product not received, including any additional uplift, transmission, or congestion charges or costs incurred for otherwise complying with any resulting prudential support"; and</w:t>
      </w:r>
    </w:p>
    <w:p>
      <w:pPr>
        <w:pStyle w:val="Normal"/>
        <w:spacing w:lineRule="atLeast" w:line="240"/>
        <w:jc w:val="both"/>
        <w:rPr>
          <w:color w:val="000000"/>
          <w:lang w:eastAsia="en-US"/>
        </w:rPr>
      </w:pPr>
      <w:r>
        <w:rPr>
          <w:color w:val="000000"/>
          <w:lang w:eastAsia="en-US"/>
        </w:rPr>
        <w:t>c)</w:t>
        <w:tab/>
        <w:t>the definition of “Sales Price" in the Agreement shall be deleted and replaced with the following: "Sales Price" means the applicable Market Price paid to Seller for selling in the IMO Administered Markets any Product not received or caused to be received by Buyer less any additional costs reasonably incurred by Seller in selling in the IMO Administered Markets such Product not received, including any additional uplift, transmission, or congestion charges or costs incurred for otherwise complying with any resulting prudential support;</w:t>
      </w:r>
    </w:p>
    <w:p>
      <w:pPr>
        <w:pStyle w:val="Normal"/>
        <w:spacing w:lineRule="atLeast" w:line="240"/>
        <w:jc w:val="both"/>
        <w:rPr>
          <w:color w:val="000000"/>
          <w:lang w:eastAsia="en-US"/>
        </w:rPr>
      </w:pPr>
      <w:r>
        <w:rPr>
          <w:color w:val="000000"/>
          <w:lang w:eastAsia="en-US"/>
        </w:rPr>
        <w:t>where, “IMO”, “IMO Administered Markets”, “IMO-Controlled Grid” and “Market Price” have the meaning ascribed to them in Chapter 11 of the IMO Market Rules, Baseline 4.0, issued October 10, 2000.</w:t>
      </w:r>
    </w:p>
    <w:p>
      <w:pPr>
        <w:pStyle w:val="Normal"/>
        <w:spacing w:lineRule="atLeast" w:line="240"/>
        <w:jc w:val="both"/>
        <w:rPr>
          <w:b/>
          <w:color w:val="000000"/>
          <w:sz w:val="16"/>
          <w:lang w:eastAsia="en-US"/>
        </w:rPr>
      </w:pPr>
      <w:r>
        <w:rPr>
          <w:b/>
          <w:color w:val="000000"/>
          <w:sz w:val="16"/>
          <w:lang w:eastAsia="en-US"/>
        </w:rPr>
        <w:t>[Note to Draft:  "Market Price" shall for the first 10 months be the preliminary Market Price and thereafter the final Market Price]</w:t>
      </w:r>
    </w:p>
    <w:p>
      <w:pPr>
        <w:pStyle w:val="BodyTextFirstIndent"/>
        <w:ind w:hanging="0" w:end="0"/>
        <w:rPr/>
      </w:pPr>
      <w:r>
        <w:rPr>
          <w:b/>
          <w:color w:val="000000"/>
          <w:sz w:val="16"/>
          <w:lang w:eastAsia="en-US"/>
        </w:rPr>
        <w:t>[Note to Draft: this is a pre-LMP product definition]</w:t>
      </w:r>
      <w:r>
        <w:rPr>
          <w:color w:val="000000"/>
          <w:lang w:eastAsia="en-US"/>
        </w:rPr>
        <w:t xml:space="preserve"> </w:t>
      </w:r>
    </w:p>
    <w:p>
      <w:pPr>
        <w:pStyle w:val="Normal"/>
        <w:spacing w:lineRule="atLeast" w:line="240"/>
        <w:jc w:val="both"/>
        <w:rPr>
          <w:color w:val="000000"/>
          <w:lang w:eastAsia="en-US"/>
        </w:rPr>
      </w:pPr>
      <w:r>
        <w:rPr>
          <w:color w:val="000000"/>
          <w:lang w:eastAsia="en-US"/>
        </w:rPr>
        <w:t>With respect to “Firm (LD)” Transactions with an Alberta Delivery Point:</w:t>
      </w:r>
    </w:p>
    <w:p>
      <w:pPr>
        <w:pStyle w:val="Normal"/>
        <w:spacing w:lineRule="atLeast" w:line="240"/>
        <w:jc w:val="both"/>
        <w:rPr>
          <w:color w:val="000000"/>
          <w:lang w:eastAsia="en-US"/>
        </w:rPr>
      </w:pPr>
      <w:r>
        <w:rPr>
          <w:color w:val="000000"/>
          <w:lang w:eastAsia="en-US"/>
        </w:rPr>
        <w:t>a)</w:t>
        <w:tab/>
        <w:t xml:space="preserve">an event or circumstance shall be deemed to constitute Force Majeure only to the extent that the event or circumstance constitutes an interruption, curtailment or prorationing by the Pool Administrator of Power Pool service, which affects all Power Pool transmitters who had Scheduled for deliveries or receipts to take place on that day; and </w:t>
      </w:r>
    </w:p>
    <w:p>
      <w:pPr>
        <w:pStyle w:val="Normal"/>
        <w:spacing w:lineRule="atLeast" w:line="240"/>
        <w:jc w:val="both"/>
        <w:rPr>
          <w:color w:val="000000"/>
          <w:lang w:eastAsia="en-US"/>
        </w:rPr>
      </w:pPr>
      <w:r>
        <w:rPr>
          <w:color w:val="000000"/>
          <w:lang w:eastAsia="en-US"/>
        </w:rPr>
        <w:t>b)</w:t>
        <w:tab/>
        <w:t>the definition of "Replacement Price" in the Agreement shall be deleted and replaced with the following: "Replacement Price" means the applicable Pool Price paid or deemed to be paid by Buyer to purchase from the Power Pool a replacement for any Product not delivered or caused to be delivered by Seller plus any additional costs reasonably incurred by Buyer in purchasing from the Power Pool such Product not received, including any additional uplift, transmission, or congestion charges or costs incurred for otherwise complying with any resulting prudential support"; and</w:t>
      </w:r>
    </w:p>
    <w:p>
      <w:pPr>
        <w:pStyle w:val="Normal"/>
        <w:spacing w:lineRule="atLeast" w:line="240"/>
        <w:jc w:val="both"/>
        <w:rPr>
          <w:color w:val="000000"/>
          <w:lang w:eastAsia="en-US"/>
        </w:rPr>
      </w:pPr>
      <w:r>
        <w:rPr>
          <w:color w:val="000000"/>
          <w:lang w:eastAsia="en-US"/>
        </w:rPr>
        <w:t>c)</w:t>
        <w:tab/>
        <w:t>the definition of “Sales Price" in the Agreement shall be deleted and replaced with the following: "Sales Price" means the applicable Pool Price paid or deemed to be paid to Seller for selling to the Power Pool any Product not received or caused to be received by Buyer less any additional costs reasonably incurred by Seller in selling to the Power Pool such Product not received, including any additional uplift, transmission, or congestion charges or costs incurred for otherwise complying with any resulting prudential support;</w:t>
      </w:r>
    </w:p>
    <w:p>
      <w:pPr>
        <w:pStyle w:val="BodyTextFirstIndent"/>
        <w:rPr>
          <w:b/>
        </w:rPr>
      </w:pPr>
      <w:r>
        <w:rPr>
          <w:color w:val="000000"/>
          <w:lang w:eastAsia="en-US"/>
        </w:rPr>
        <w:t>where, “Power Pool” and “Pool Price” have the meaning ascribed to them in Section 1.1 of the Power Pool of Alberta Pool Rules, Base: July 16, 2000, Version: October 23, 2000.</w:t>
      </w:r>
    </w:p>
    <w:p>
      <w:pPr>
        <w:pStyle w:val="BodyTextFirstIndent"/>
        <w:rPr/>
      </w:pPr>
      <w:r>
        <w:rPr/>
        <w:t>"Non-Firm" means, with respect to a Transaction, that delivery or receipt of the Product may be interrupted for any reason or for no reason, without liability on the part of either Party.</w:t>
      </w:r>
    </w:p>
    <w:p>
      <w:pPr>
        <w:pStyle w:val="BodyTextFirstIndent"/>
        <w:rPr>
          <w:b/>
        </w:rPr>
      </w:pPr>
      <w:r>
        <w:rPr/>
        <w:t>“</w:t>
      </w:r>
      <w:r>
        <w:rPr/>
        <w:t xml:space="preserve">System Firm” means, with respect to a Transaction, that the Product subject to the Transaction is intended to be supplied from a generation asset or assets specified in the Transaction.  Under a “System Firm” Transaction, Seller shall only be obligated to Schedule the dispatch of the applicable generation asset but shall have no liability for the actual dispatch of that generation asset.  Seller’s failure to deliver under a “System Firm” Transaction shall be excused:  (a) if Seller has Scheduled the dispatch of the applicable generation asset but the generation asset does not dispatch the applicable power, or (b) by Buyer’s failure to perform.  In any of such events, Seller shall not be liable to Buyer for any damages, including any amounts determined pursuant to Article Four.  </w:t>
      </w:r>
    </w:p>
    <w:p>
      <w:pPr>
        <w:pStyle w:val="BodyTextFirstIndent"/>
        <w:rPr>
          <w:b/>
        </w:rPr>
      </w:pPr>
      <w:r>
        <w:rPr/>
        <w:t>"Unit Firm" means, with respect to a Transaction, that the Product subject to the Transaction is intended to be supplied from a generation asset or assets specified in the Transaction.  Seller’s failure to deliver all or a portion of the Quantity under a "Unit Firm" Transaction shall be excused:  (a) if the specified generation asset(s) are made unavailable to prevent system separation during an emergency, provided Seller has exercised all prudent operating alternatives prior to the interruption or curtailment, or (b)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(c) by the unavailability of transmission capacity necessary for the delivery of Scheduled energy, or (d) by Buyer’s failure to perform.  In any of such events, Seller shall not be liable to Buyer for any damages, including any amounts determined pursuant to Article Four.</w:t>
      </w:r>
    </w:p>
    <w:p>
      <w:pPr>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b/>
        </w:rPr>
      </w:pPr>
      <w:r>
        <w:rPr>
          <w:b/>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Enron Canada Corp.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Conditions Precedent (if any):  </w:t>
      </w:r>
      <w:r>
        <w:rPr>
          <w:u w:val="single"/>
        </w:rPr>
        <w:tab/>
      </w:r>
    </w:p>
    <w:p>
      <w:pPr>
        <w:pStyle w:val="blockwline"/>
        <w:rPr/>
      </w:pPr>
      <w:r>
        <w:rPr/>
        <w:t xml:space="preserve">Product:  </w:t>
      </w:r>
    </w:p>
    <w:p>
      <w:pPr>
        <w:pStyle w:val="BodyText"/>
        <w:rPr/>
      </w:pPr>
      <w:r>
        <w:rPr/>
        <w:t></w:t>
      </w:r>
      <w:r>
        <w:rPr/>
        <w:tab/>
        <w:t>Firm</w:t>
      </w:r>
    </w:p>
    <w:p>
      <w:pPr>
        <w:pStyle w:val="BodyText"/>
        <w:rPr/>
      </w:pPr>
      <w:r>
        <w:rPr/>
        <w:t></w:t>
      </w:r>
      <w:r>
        <w:rPr/>
        <w:tab/>
        <w:t xml:space="preserve">Non-Firm  </w:t>
      </w:r>
      <w:r>
        <w:rPr>
          <w:u w:val="single"/>
        </w:rPr>
        <w:tab/>
        <w:tab/>
        <w:tab/>
        <w:tab/>
        <w:tab/>
        <w:tab/>
        <w:tab/>
        <w:tab/>
        <w:tab/>
        <w:tab/>
        <w:tab/>
      </w:r>
    </w:p>
    <w:p>
      <w:pPr>
        <w:pStyle w:val="BodyText"/>
        <w:rPr/>
      </w:pPr>
      <w:r>
        <w:rPr/>
        <w:t></w:t>
      </w:r>
      <w:r>
        <w:rPr/>
        <w:tab/>
        <w:t xml:space="preserve">System Firm </w:t>
      </w:r>
    </w:p>
    <w:p>
      <w:pPr>
        <w:pStyle w:val="blockindentwline"/>
        <w:rPr/>
      </w:pPr>
      <w:r>
        <w:rPr/>
        <w:t xml:space="preserve">(Specify Unit(s):  </w:t>
      </w:r>
      <w:r>
        <w:rPr>
          <w:u w:val="single"/>
        </w:rPr>
        <w:tab/>
      </w:r>
      <w:r>
        <w:rPr/>
        <w:t>)</w:t>
      </w:r>
    </w:p>
    <w:p>
      <w:pPr>
        <w:pStyle w:val="BodyText"/>
        <w:rPr/>
      </w:pPr>
      <w:r>
        <w:rPr/>
        <w:t></w:t>
      </w:r>
      <w:r>
        <w:rPr/>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r>
      <w:r>
        <w:rPr/>
        <w:tab/>
        <w:t xml:space="preserve">Other  </w:t>
      </w:r>
      <w:r>
        <w:rPr>
          <w:u w:val="single"/>
        </w:rPr>
        <w:tab/>
      </w:r>
    </w:p>
    <w:p>
      <w:pPr>
        <w:pStyle w:val="blockwline"/>
        <w:rPr/>
      </w:pPr>
      <w:r>
        <w:rPr/>
        <w:t xml:space="preserve">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tabs>
          <w:tab w:val="left" w:pos="720" w:leader="none"/>
          <w:tab w:val="right" w:pos="9360" w:leader="none"/>
        </w:tabs>
        <w:rPr/>
      </w:pPr>
      <w:r>
        <w:rPr/>
        <w:tab/>
        <w:t xml:space="preserve">Energy Price:  </w:t>
      </w:r>
      <w:r>
        <w:rPr>
          <w:u w:val="single"/>
        </w:rPr>
        <w:tab/>
      </w:r>
    </w:p>
    <w:p>
      <w:pPr>
        <w:pStyle w:val="blockwline"/>
        <w:tabs>
          <w:tab w:val="left" w:pos="720" w:leader="none"/>
          <w:tab w:val="right" w:pos="9360" w:leader="none"/>
        </w:tabs>
        <w:rPr/>
      </w:pPr>
      <w:r>
        <w:rPr/>
        <w:tab/>
        <w:t xml:space="preserve">Other Charges:  </w:t>
      </w:r>
      <w:r>
        <w:rPr>
          <w:u w:val="single"/>
        </w:rPr>
        <w:tab/>
      </w:r>
    </w:p>
    <w:p>
      <w:pPr>
        <w:pStyle w:val="blockwline"/>
        <w:rPr/>
      </w:pPr>
      <w:r>
        <w:rPr/>
        <w:t xml:space="preserve">Period of Delivery:  </w:t>
      </w:r>
      <w:r>
        <w:rPr>
          <w:u w:val="single"/>
        </w:rPr>
        <w:tab/>
      </w:r>
    </w:p>
    <w:p>
      <w:pPr>
        <w:pStyle w:val="blockwline"/>
        <w:rPr/>
      </w:pPr>
      <w:r>
        <w:rPr/>
        <w:t xml:space="preserve">Special Conditions:  </w:t>
      </w:r>
      <w:r>
        <w:rPr>
          <w:u w:val="single"/>
        </w:rPr>
        <w:tab/>
      </w:r>
    </w:p>
    <w:p>
      <w:pPr>
        <w:pStyle w:val="blockwline"/>
        <w:rPr/>
      </w:pPr>
      <w:r>
        <w:rPr/>
        <w:t xml:space="preserve">Other:  </w:t>
      </w:r>
    </w:p>
    <w:p>
      <w:pPr>
        <w:pStyle w:val="blockwline"/>
        <w:tabs>
          <w:tab w:val="left" w:pos="360" w:leader="none"/>
          <w:tab w:val="left" w:pos="720" w:leader="none"/>
          <w:tab w:val="right" w:pos="9360" w:leader="none"/>
        </w:tabs>
        <w:rPr/>
      </w:pPr>
      <w:r>
        <w:rPr/>
        <w:tab/>
        <w:tab/>
        <w:t xml:space="preserve">Locational Marginal Pricing:  </w:t>
      </w:r>
      <w:r>
        <w:rPr>
          <w:u w:val="single"/>
        </w:rPr>
        <w:tab/>
      </w:r>
    </w:p>
    <w:p>
      <w:pPr>
        <w:pStyle w:val="blockwline"/>
        <w:tabs>
          <w:tab w:val="left" w:pos="360" w:leader="none"/>
          <w:tab w:val="left" w:pos="720" w:leader="none"/>
          <w:tab w:val="right" w:pos="9360" w:leader="none"/>
        </w:tabs>
        <w:rPr/>
      </w:pPr>
      <w:r>
        <w:rPr/>
        <w:tab/>
        <w:tab/>
        <w:t xml:space="preserve">Registered Wholesale Meter Delivery Point:  </w:t>
      </w:r>
      <w:r>
        <w:rPr>
          <w:u w:val="single"/>
        </w:rPr>
        <w:tab/>
      </w:r>
    </w:p>
    <w:p>
      <w:pPr>
        <w:pStyle w:val="blockwline"/>
        <w:tabs>
          <w:tab w:val="left" w:pos="360" w:leader="none"/>
          <w:tab w:val="left" w:pos="720" w:leader="none"/>
          <w:tab w:val="right" w:pos="9360" w:leader="none"/>
        </w:tabs>
        <w:rPr/>
      </w:pPr>
      <w:r>
        <w:rPr/>
        <w:tab/>
        <w:tab/>
        <w:t xml:space="preserve">Intertie Metering Point:  </w:t>
      </w:r>
      <w:r>
        <w:rPr>
          <w:u w:val="single"/>
        </w:rPr>
        <w:tab/>
      </w:r>
    </w:p>
    <w:p>
      <w:pPr>
        <w:pStyle w:val="blockwline"/>
        <w:tabs>
          <w:tab w:val="left" w:pos="360" w:leader="none"/>
          <w:tab w:val="left" w:pos="720" w:leader="none"/>
          <w:tab w:val="right" w:pos="9360" w:leader="none"/>
        </w:tabs>
        <w:rPr/>
      </w:pPr>
      <w:r>
        <w:rPr/>
        <w:tab/>
        <w:tab/>
        <w:t xml:space="preserve">Business Day Applicable Jurisdiction:  </w:t>
      </w:r>
      <w:r>
        <w:rPr>
          <w:u w:val="single"/>
        </w:rPr>
        <w:tab/>
      </w:r>
    </w:p>
    <w:p>
      <w:pPr>
        <w:pStyle w:val="blockwline"/>
        <w:tabs>
          <w:tab w:val="left" w:pos="360" w:leader="none"/>
          <w:tab w:val="left" w:pos="720" w:leader="none"/>
          <w:tab w:val="right" w:pos="9360" w:leader="none"/>
        </w:tabs>
        <w:rPr/>
      </w:pPr>
      <w:r>
        <w:rPr/>
        <w:tab/>
        <w:tab/>
        <w:t xml:space="preserve">Others: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wline"/>
        <w:rPr/>
      </w:pPr>
      <w:r>
        <w:rPr/>
        <w:t xml:space="preserve">        </w:t>
      </w:r>
      <w:r>
        <w:rPr/>
        <w:t xml:space="preserve">Type of Option:  </w:t>
      </w:r>
      <w:r>
        <w:rPr>
          <w:u w:val="single"/>
        </w:rPr>
        <w:tab/>
      </w:r>
    </w:p>
    <w:p>
      <w:pPr>
        <w:pStyle w:val="blockwline"/>
        <w:rPr/>
      </w:pPr>
      <w:r>
        <w:rPr/>
        <w:t xml:space="preserve">        </w:t>
      </w:r>
      <w:r>
        <w:rPr/>
        <w:t xml:space="preserve">Strike Price:  </w:t>
      </w:r>
      <w:r>
        <w:rPr>
          <w:u w:val="single"/>
        </w:rPr>
        <w:tab/>
      </w:r>
    </w:p>
    <w:p>
      <w:pPr>
        <w:pStyle w:val="blockwline"/>
        <w:rPr/>
      </w:pPr>
      <w:r>
        <w:rPr/>
        <w:t xml:space="preserve">        </w:t>
      </w:r>
      <w:r>
        <w:rPr/>
        <w:t xml:space="preserve">Premium:  </w:t>
      </w:r>
      <w:r>
        <w:rPr>
          <w:u w:val="single"/>
        </w:rPr>
        <w:tab/>
      </w:r>
    </w:p>
    <w:p>
      <w:pPr>
        <w:pStyle w:val="blockwline"/>
        <w:rPr/>
      </w:pPr>
      <w:r>
        <w:rPr/>
        <w:t xml:space="preserve">        </w:t>
      </w: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BodyTextFirstIndent"/>
        <w:rPr/>
      </w:pPr>
      <w:r>
        <w:rPr/>
        <w:t>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w:t>
      </w:r>
    </w:p>
    <w:p>
      <w:pPr>
        <w:pStyle w:val="Signature-dbl"/>
        <w:rPr/>
      </w:pPr>
      <w:r>
        <w:rPr>
          <w:b/>
        </w:rPr>
        <w:t>ENRON CANADA CORP.</w:t>
      </w:r>
      <w:r>
        <w:rPr/>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3"/>
          <w:footerReference w:type="first" r:id="rId4"/>
          <w:type w:val="nextPage"/>
          <w:pgSz w:w="12240" w:h="15840"/>
          <w:pgMar w:left="1440" w:right="1440" w:gutter="0" w:header="0" w:top="1440" w:footer="576" w:bottom="1440"/>
          <w:pgNumType w:start="30" w:fmt="decimal"/>
          <w:formProt w:val="false"/>
          <w:textDirection w:val="lrTb"/>
          <w:docGrid w:type="default" w:linePitch="360" w:charSpace="0"/>
        </w:sectPr>
        <w:pStyle w:val="Heading"/>
        <w:rPr/>
      </w:pPr>
      <w:r>
        <w:rPr/>
      </w:r>
    </w:p>
    <w:p>
      <w:pPr>
        <w:pStyle w:val="Heading"/>
        <w:rPr/>
      </w:pPr>
      <w:r>
        <w:rPr/>
        <w:t>EXHIBIT "B"</w:t>
      </w:r>
    </w:p>
    <w:p>
      <w:pPr>
        <w:pStyle w:val="Normal"/>
        <w:spacing w:lineRule="exact" w:line="280"/>
        <w:jc w:val="center"/>
        <w:rPr>
          <w:b/>
        </w:rPr>
      </w:pPr>
      <w:r>
        <w:rPr>
          <w:b/>
        </w:rPr>
        <w:t>ENRON CORP. FORM OF GUARANTEE AGREEMENT</w:t>
      </w:r>
    </w:p>
    <w:p>
      <w:pPr>
        <w:pStyle w:val="INVOICEHD2"/>
        <w:tabs>
          <w:tab w:val="clear" w:pos="4680"/>
        </w:tabs>
        <w:suppressAutoHyphens w:val="true"/>
        <w:rPr>
          <w:rFonts w:ascii="Times New Roman" w:hAnsi="Times New Roman" w:cs="Times New Roman"/>
          <w:b/>
          <w:spacing w:val="-2"/>
        </w:rPr>
      </w:pPr>
      <w:r>
        <w:rPr>
          <w:rFonts w:cs="Times New Roman" w:ascii="Times New Roman" w:hAnsi="Times New Roman"/>
          <w:b/>
          <w:spacing w:val="-2"/>
        </w:rPr>
      </w:r>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 ______,</w:t>
      </w:r>
      <w:r>
        <w:rPr/>
        <w:t xml:space="preserve"> is made and entered into between Enron Corp., an Oregon corporation (“</w:t>
      </w:r>
      <w:r>
        <w:rPr>
          <w:u w:val="single"/>
        </w:rPr>
        <w:t>Guarantor</w:t>
      </w:r>
      <w:r>
        <w:rPr/>
        <w:t xml:space="preserve">”), and </w:t>
      </w:r>
      <w:r>
        <w:rPr>
          <w:color w:val="0000FF"/>
        </w:rPr>
        <w:t>___________</w:t>
      </w:r>
      <w:r>
        <w:rPr/>
        <w:t>,</w:t>
      </w:r>
      <w:r>
        <w:rPr>
          <w:color w:val="0000FF"/>
        </w:rPr>
        <w:t xml:space="preserve"> a _________ corporation</w:t>
      </w:r>
      <w:r>
        <w:rPr/>
        <w:t xml:space="preserve"> (“</w:t>
      </w:r>
      <w:r>
        <w:rPr>
          <w:u w:val="single"/>
        </w:rPr>
        <w:t>Contract Party</w:t>
      </w:r>
      <w:r>
        <w:rPr/>
        <w:t>”).</w:t>
      </w:r>
    </w:p>
    <w:p>
      <w:pPr>
        <w:pStyle w:val="Heading2"/>
        <w:numPr>
          <w:ilvl w:val="0"/>
          <w:numId w:val="0"/>
        </w:numPr>
        <w:ind w:firstLine="720" w:start="0" w:end="0"/>
        <w:rPr/>
      </w:pPr>
      <w:r>
        <w:rPr/>
        <w:t>WHEREAS, (a) Contract Party and Enron Canada Corp. (“</w:t>
      </w:r>
      <w:r>
        <w:rPr>
          <w:u w:val="single"/>
        </w:rPr>
        <w:t>Obligor</w:t>
      </w:r>
      <w:r>
        <w:rPr/>
        <w:t>”), a wholly owned indirect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$_________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9.2(a) of the Power Contract in accordance therewith.</w:t>
      </w:r>
    </w:p>
    <w:p>
      <w:pPr>
        <w:pStyle w:val="Normal"/>
        <w:ind w:hanging="360" w:start="360" w:end="0"/>
        <w:jc w:val="both"/>
        <w:rPr/>
      </w:pPr>
      <w:r>
        <w:rPr/>
      </w:r>
    </w:p>
    <w:p>
      <w:pPr>
        <w:pStyle w:val="Normal"/>
        <w:numPr>
          <w:ilvl w:val="0"/>
          <w:numId w:val="12"/>
        </w:numPr>
        <w:jc w:val="both"/>
        <w:rPr/>
      </w:pP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start="360" w:end="0"/>
        <w:jc w:val="both"/>
        <w:rPr>
          <w:u w:val="single"/>
        </w:rPr>
      </w:pPr>
      <w:r>
        <w:rPr>
          <w:u w:val="single"/>
        </w:rPr>
        <w:t>To Guarantor:</w:t>
      </w:r>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pPr>
      <w:r>
        <w:rPr>
          <w:color w:val="0000FF"/>
        </w:rPr>
        <w:t xml:space="preserve">Attention:  </w:t>
      </w:r>
      <w:r>
        <w:rPr>
          <w:color w:val="0000FF"/>
          <w:u w:val="single"/>
        </w:rPr>
        <w:tab/>
        <w:tab/>
        <w:tab/>
      </w:r>
    </w:p>
    <w:p>
      <w:pPr>
        <w:pStyle w:val="Normal"/>
        <w:ind w:start="360" w:end="0"/>
        <w:jc w:val="both"/>
        <w:rPr>
          <w:color w:val="0000FF"/>
        </w:rPr>
      </w:pPr>
      <w:r>
        <w:rPr>
          <w:color w:val="0000FF"/>
        </w:rPr>
        <w:t xml:space="preserve">Facsimile:  </w:t>
      </w:r>
      <w:r>
        <w:rPr>
          <w:color w:val="0000FF"/>
          <w:u w:val="single"/>
        </w:rPr>
        <w:tab/>
        <w:tab/>
        <w:tab/>
      </w:r>
    </w:p>
    <w:p>
      <w:pPr>
        <w:pStyle w:val="Normal"/>
        <w:ind w:start="360" w:end="0"/>
        <w:jc w:val="both"/>
        <w:rPr>
          <w:color w:val="0000FF"/>
        </w:rPr>
      </w:pPr>
      <w:r>
        <w:rPr>
          <w:color w:val="0000FF"/>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[COUNTERPARTY’S NAME]</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pPr>
    </w:p>
    <w:p>
      <w:pPr>
        <w:pStyle w:val="Heading"/>
        <w:rPr/>
      </w:pPr>
      <w:r>
        <w:rPr/>
        <w:t>EXHIBIT "C"</w:t>
      </w:r>
    </w:p>
    <w:p>
      <w:pPr>
        <w:pStyle w:val="Normal"/>
        <w:spacing w:lineRule="exact" w:line="280"/>
        <w:jc w:val="center"/>
        <w:rPr>
          <w:b/>
        </w:rPr>
      </w:pPr>
      <w:r>
        <w:rPr>
          <w:b/>
        </w:rPr>
        <w:t>COUNTERPARTY FORM OF GUARANTEE AGREEMENT</w:t>
      </w:r>
    </w:p>
    <w:p>
      <w:pPr>
        <w:pStyle w:val="INVOICEHD2"/>
        <w:tabs>
          <w:tab w:val="clear" w:pos="4680"/>
        </w:tabs>
        <w:suppressAutoHyphens w:val="true"/>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5040" w:leader="none"/>
          <w:tab w:val="left" w:pos="9900" w:leader="none"/>
        </w:tabs>
        <w:jc w:val="center"/>
        <w:rPr>
          <w:u w:val="single"/>
        </w:rPr>
      </w:pPr>
      <w:r>
        <w:rPr>
          <w:u w:val="single"/>
        </w:rPr>
        <w:t>CONFIDENTIAL GUARANTEE AGREEMENT</w:t>
      </w:r>
    </w:p>
    <w:p>
      <w:pPr>
        <w:pStyle w:val="Normal"/>
        <w:jc w:val="center"/>
        <w:rPr>
          <w:u w:val="single"/>
        </w:rPr>
      </w:pPr>
      <w:r>
        <w:rPr>
          <w:u w:val="single"/>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__________, ______</w:t>
      </w:r>
      <w:r>
        <w:rPr/>
        <w:t xml:space="preserve">, is made and entered into between </w:t>
      </w:r>
      <w:r>
        <w:rPr>
          <w:color w:val="0000FF"/>
        </w:rPr>
        <w:t>________________, a _________</w:t>
      </w:r>
      <w:r>
        <w:rPr/>
        <w:t xml:space="preserve"> corporation (“</w:t>
      </w:r>
      <w:r>
        <w:rPr>
          <w:u w:val="single"/>
        </w:rPr>
        <w:t>Guarantor</w:t>
      </w:r>
      <w:r>
        <w:rPr/>
        <w:t>”), and Enron Canada Corp., an Alberta corporation (“</w:t>
      </w:r>
      <w:r>
        <w:rPr>
          <w:u w:val="single"/>
        </w:rPr>
        <w:t>Contract Party</w:t>
      </w:r>
      <w:r>
        <w:rPr/>
        <w:t>”).</w:t>
      </w:r>
    </w:p>
    <w:p>
      <w:pPr>
        <w:pStyle w:val="Heading2"/>
        <w:numPr>
          <w:ilvl w:val="0"/>
          <w:numId w:val="0"/>
        </w:numPr>
        <w:ind w:firstLine="720" w:start="0" w:end="0"/>
        <w:rPr/>
      </w:pPr>
      <w:r>
        <w:rPr/>
        <w:t xml:space="preserve">WHEREAS, (a) Contract Party and </w:t>
      </w:r>
      <w:r>
        <w:rPr>
          <w:color w:val="0000FF"/>
        </w:rPr>
        <w:t>__________________ (“</w:t>
      </w:r>
      <w:r>
        <w:rPr>
          <w:color w:val="0000FF"/>
          <w:u w:val="single"/>
        </w:rPr>
        <w:t>Obligor</w:t>
      </w:r>
      <w:r>
        <w:rPr>
          <w:color w:val="0000FF"/>
        </w:rPr>
        <w:t>”)</w:t>
      </w:r>
      <w:r>
        <w:rPr/>
        <w:t>, a wholly owned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9.1(a)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pPr>
      <w:r>
        <w:rPr>
          <w:color w:val="0000FF"/>
        </w:rPr>
        <w:t>Attention:</w:t>
      </w:r>
      <w:r>
        <w:rPr>
          <w:color w:val="0000FF"/>
          <w:u w:val="single"/>
        </w:rPr>
        <w:tab/>
        <w:tab/>
        <w:tab/>
      </w:r>
    </w:p>
    <w:p>
      <w:pPr>
        <w:pStyle w:val="Normal"/>
        <w:ind w:start="360" w:end="0"/>
        <w:jc w:val="both"/>
        <w:rPr/>
      </w:pPr>
      <w:r>
        <w:rPr>
          <w:color w:val="0000FF"/>
        </w:rPr>
        <w:t>Facsimile:</w:t>
      </w:r>
      <w:r>
        <w:rPr>
          <w:color w:val="0000FF"/>
          <w:u w:val="single"/>
        </w:rPr>
        <w:tab/>
        <w:tab/>
        <w:tab/>
      </w:r>
    </w:p>
    <w:p>
      <w:pPr>
        <w:pStyle w:val="Normal"/>
        <w:ind w:start="360" w:end="0"/>
        <w:jc w:val="both"/>
        <w:rPr>
          <w:color w:val="0000FF"/>
          <w:u w:val="single"/>
        </w:rPr>
      </w:pPr>
      <w:r>
        <w:rPr>
          <w:color w:val="0000FF"/>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pPr>
      <w:r>
        <w:rPr/>
        <w:t>Enron Canada Corp.</w:t>
      </w:r>
    </w:p>
    <w:p>
      <w:pPr>
        <w:pStyle w:val="Normal"/>
        <w:ind w:start="360" w:end="0"/>
        <w:jc w:val="both"/>
        <w:rPr/>
      </w:pPr>
      <w:r>
        <w:rPr/>
        <w:t>3500, 400 - 3rd Avenue S.W.</w:t>
      </w:r>
    </w:p>
    <w:p>
      <w:pPr>
        <w:pStyle w:val="Normal"/>
        <w:ind w:start="360" w:end="0"/>
        <w:jc w:val="both"/>
        <w:rPr/>
      </w:pPr>
      <w:r>
        <w:rPr/>
        <w:t>Calgary, Alberta   T2P 4H2</w:t>
      </w:r>
    </w:p>
    <w:p>
      <w:pPr>
        <w:pStyle w:val="Normal"/>
        <w:ind w:start="360" w:end="0"/>
        <w:jc w:val="both"/>
        <w:rPr>
          <w:u w:val="single"/>
        </w:rPr>
      </w:pPr>
      <w:r>
        <w:rPr/>
        <w:t>Attention:  Corporate Secretary</w:t>
      </w:r>
    </w:p>
    <w:p>
      <w:pPr>
        <w:pStyle w:val="Normal"/>
        <w:ind w:start="360" w:end="0"/>
        <w:jc w:val="both"/>
        <w:rPr/>
      </w:pPr>
      <w:r>
        <w:rPr/>
        <w:t>Facsimile:  (403) 974-6707</w:t>
      </w:r>
    </w:p>
    <w:p>
      <w:pPr>
        <w:pStyle w:val="Normal"/>
        <w:ind w:hanging="360" w:start="360" w:end="0"/>
        <w:jc w:val="both"/>
        <w:rPr/>
      </w:pPr>
      <w:r>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BlockTextBold"/>
              <w:spacing w:before="0" w:after="0"/>
              <w:rPr/>
            </w:pPr>
            <w:r>
              <w:rPr/>
              <w:t>[COUNTERPARTY’S GUARANTOR]</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338" w:type="dxa"/>
            <w:tcBorders/>
          </w:tcPr>
          <w:p>
            <w:pPr>
              <w:pStyle w:val="Normal"/>
              <w:snapToGrid w:val="false"/>
              <w:jc w:val="both"/>
              <w:rPr>
                <w:b/>
              </w:rPr>
            </w:pPr>
            <w:r>
              <w:rPr>
                <w:b/>
              </w:rPr>
            </w:r>
          </w:p>
        </w:tc>
        <w:tc>
          <w:tcPr>
            <w:tcW w:w="771" w:type="dxa"/>
            <w:tcBorders/>
          </w:tcPr>
          <w:p>
            <w:pPr>
              <w:pStyle w:val="Normal"/>
              <w:snapToGrid w:val="false"/>
              <w:jc w:val="both"/>
              <w:rPr>
                <w:b/>
              </w:rPr>
            </w:pPr>
            <w:r>
              <w:rPr>
                <w:b/>
              </w:rPr>
            </w:r>
          </w:p>
        </w:tc>
        <w:tc>
          <w:tcPr>
            <w:tcW w:w="4359" w:type="dxa"/>
            <w:tcBorders>
              <w:bottom w:val="single" w:sz="6" w:space="0" w:color="000000"/>
            </w:tcBorders>
          </w:tcPr>
          <w:p>
            <w:pPr>
              <w:pStyle w:val="Normal"/>
              <w:snapToGrid w:val="false"/>
              <w:jc w:val="both"/>
              <w:rPr>
                <w:b/>
              </w:rPr>
            </w:pPr>
            <w:r>
              <w:rPr>
                <w:b/>
              </w:rPr>
            </w:r>
          </w:p>
        </w:tc>
      </w:tr>
      <w:tr>
        <w:trPr/>
        <w:tc>
          <w:tcPr>
            <w:tcW w:w="4338" w:type="dxa"/>
            <w:tcBorders>
              <w:top w:val="single" w:sz="6" w:space="0" w:color="000000"/>
              <w:bottom w:val="single" w:sz="6" w:space="0" w:color="000000"/>
            </w:tcBorders>
          </w:tcPr>
          <w:p>
            <w:pPr>
              <w:pStyle w:val="Normal"/>
              <w:jc w:val="both"/>
              <w:rPr>
                <w:b/>
              </w:rPr>
            </w:pPr>
            <w:r>
              <w:rPr>
                <w:b/>
              </w:rPr>
              <w:t>By:</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By:</w:t>
            </w:r>
          </w:p>
        </w:tc>
      </w:tr>
      <w:tr>
        <w:trPr/>
        <w:tc>
          <w:tcPr>
            <w:tcW w:w="4338" w:type="dxa"/>
            <w:tcBorders>
              <w:bottom w:val="single" w:sz="6" w:space="0" w:color="000000"/>
            </w:tcBorders>
          </w:tcPr>
          <w:p>
            <w:pPr>
              <w:pStyle w:val="Normal"/>
              <w:jc w:val="both"/>
              <w:rPr>
                <w:b/>
              </w:rPr>
            </w:pPr>
            <w:r>
              <w:rPr>
                <w:b/>
              </w:rPr>
              <w:t>Title:</w:t>
            </w:r>
          </w:p>
        </w:tc>
        <w:tc>
          <w:tcPr>
            <w:tcW w:w="771" w:type="dxa"/>
            <w:tcBorders/>
          </w:tcPr>
          <w:p>
            <w:pPr>
              <w:pStyle w:val="Normal"/>
              <w:snapToGrid w:val="false"/>
              <w:jc w:val="both"/>
              <w:rPr>
                <w:b/>
              </w:rPr>
            </w:pPr>
            <w:r>
              <w:rPr>
                <w:b/>
              </w:rPr>
            </w:r>
          </w:p>
        </w:tc>
        <w:tc>
          <w:tcPr>
            <w:tcW w:w="4359" w:type="dxa"/>
            <w:tcBorders>
              <w:top w:val="single" w:sz="6" w:space="0" w:color="000000"/>
              <w:bottom w:val="single" w:sz="6" w:space="0" w:color="000000"/>
            </w:tcBorders>
          </w:tcPr>
          <w:p>
            <w:pPr>
              <w:pStyle w:val="Normal"/>
              <w:jc w:val="both"/>
              <w:rPr>
                <w:b/>
              </w:rPr>
            </w:pPr>
            <w:r>
              <w:rPr>
                <w:b/>
              </w:rPr>
              <w:t>Title:</w:t>
            </w:r>
          </w:p>
        </w:tc>
      </w:tr>
    </w:tbl>
    <w:p>
      <w:pPr>
        <w:pStyle w:val="Normal"/>
        <w:tabs>
          <w:tab w:val="clear" w:pos="720"/>
          <w:tab w:val="left" w:pos="5040" w:leader="none"/>
          <w:tab w:val="left" w:pos="9900" w:leader="none"/>
        </w:tabs>
        <w:jc w:val="both"/>
        <w:rPr/>
      </w:pPr>
      <w:r>
        <w:rPr/>
      </w:r>
    </w:p>
    <w:sectPr>
      <w:footerReference w:type="default" r:id="rId7"/>
      <w:footerReference w:type="first" r:id="rId8"/>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rStyle w:val="PageNumber"/>
      </w:rPr>
    </w:pPr>
    <w:r>
      <w:rPr/>
    </w:r>
  </w:p>
  <w:p>
    <w:pPr>
      <w:pStyle w:val="Normal"/>
      <w:rPr>
        <w:rStyle w:val="PageNumb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rPr>
        <w:rStyle w:val="PageNumber"/>
      </w:rPr>
    </w:pPr>
    <w:r>
      <w:rPr/>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rPr>
        <w:rStyle w:val="PageNumber"/>
      </w:rPr>
    </w:pPr>
    <w:r>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7"/>
      <w:numFmt w:val="decimal"/>
      <w:lvlText w:val="%1."/>
      <w:lvlJc w:val="start"/>
      <w:pPr>
        <w:tabs>
          <w:tab w:val="num" w:pos="360"/>
        </w:tabs>
        <w:ind w:start="36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WW8Num12z0">
    <w:name w:val="WW8Num12z0"/>
    <w:qFormat/>
    <w:rPr>
      <w:b/>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hanging="0" w:start="36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2000-11-20T20:09:00Z</dcterms:created>
  <dc:creator>WordProcessing</dc:creator>
  <dc:description/>
  <dc:language>en-CA</dc:language>
  <cp:lastModifiedBy>gjohnst</cp:lastModifiedBy>
  <cp:lastPrinted>2000-04-26T14:24:00Z</cp:lastPrinted>
  <dcterms:modified xsi:type="dcterms:W3CDTF">2000-11-21T13:23:00Z</dcterms:modified>
  <cp:revision>5</cp:revision>
  <dc:subject/>
  <dc:title>  </dc:title>
</cp:coreProperties>
</file>