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p>
    <w:p>
      <w:pPr>
        <w:sectPr>
          <w:footerReference w:type="default" r:id="rId2"/>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Heading"/>
        <w:rPr/>
      </w:pPr>
      <w:r>
        <w:rPr/>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3"/>
          <w:footerReference w:type="first" r:id="rId4"/>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[Party B]</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5"/>
          <w:footerReference w:type="first" r:id="rId6"/>
          <w:footnotePr>
            <w:numFmt w:val="decimal"/>
          </w:footnotePr>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____________________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pPr>
      <w:r>
        <w:rPr>
          <w:spacing w:val="-2"/>
        </w:rPr>
        <w:t>(b)</w:t>
        <w:tab/>
        <w:t>The aggregate amount covered by this Guarantee shall not exceed _____________</w:t>
      </w:r>
      <w:r>
        <w:rPr>
          <w:b/>
          <w:bCs/>
          <w:spacing w:val="-2"/>
        </w:rPr>
        <w:t xml:space="preserve"> </w:t>
      </w:r>
      <w:r>
        <w:rPr>
          <w:spacing w:val="-2"/>
        </w:rPr>
        <w:t>U.S. Dollars ($____________).</w:t>
      </w:r>
    </w:p>
    <w:p>
      <w:pPr>
        <w:pStyle w:val="Justified"/>
        <w:ind w:firstLine="720" w:end="0"/>
        <w:jc w:val="both"/>
        <w:rPr>
          <w:spacing w:val="-2"/>
        </w:rPr>
      </w:pPr>
      <w:r>
        <w:rPr>
          <w:spacing w:val="-2"/>
        </w:rPr>
        <w:t>2.</w:t>
        <w:tab/>
      </w:r>
      <w:r>
        <w:rPr>
          <w:spacing w:val="-2"/>
          <w:u w:val="single"/>
        </w:rPr>
        <w:t>DEMANDS AND NOTICE</w:t>
      </w:r>
      <w:r>
        <w:rPr>
          <w:spacing w:val="-2"/>
        </w:rPr>
        <w:t xml:space="preserve">.  </w:t>
      </w:r>
      <w:r>
        <w:rPr>
          <w:szCs w:val="22"/>
        </w:rPr>
        <w: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Guarantor and Counterparty.</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To Counterparty:</w:t>
        <w:tab/>
      </w:r>
      <w:r>
        <w:rPr>
          <w:spacing w:val="-2"/>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BodyTextIndent"/>
        <w:rPr/>
      </w:pPr>
      <w:r>
        <w:rPr/>
        <w:t>A copy of any notice sent to Guarantor pursuant hereto must also be sent to the above address to:  (i) Enron Corp., Attention:  Corporate Secretary, Fax. No. (713) 853-2534; and (ii) Enron Power Marketing, Inc., Attention:  Assistant General Counsel, Trading Group, Fax No. (713) 646-4818.</w:t>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BodyText"/>
        <w:spacing w:before="0" w:after="120"/>
        <w:rPr>
          <w:spacing w:val="-2"/>
        </w:rPr>
      </w:pPr>
      <w:r>
        <w:rPr>
          <w:spacing w:val="-2"/>
        </w:rPr>
      </w:r>
    </w:p>
    <w:sectPr>
      <w:footerReference w:type="default" r:id="rId7"/>
      <w:footerReference w:type="first" r:id="rId8"/>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M-</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2001-02-23T18:46:00Z</dcterms:created>
  <dc:creator>WordProcessing</dc:creator>
  <dc:description/>
  <dc:language>en-CA</dc:language>
  <cp:lastModifiedBy>bwhiteh</cp:lastModifiedBy>
  <cp:lastPrinted>2000-04-26T14:24:00Z</cp:lastPrinted>
  <dcterms:modified xsi:type="dcterms:W3CDTF">2001-03-09T11:47:00Z</dcterms:modified>
  <cp:revision>4</cp:revision>
  <dc:subject/>
  <dc:title>  </dc:title>
</cp:coreProperties>
</file>