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jc w:val="both"/>
        <w:rPr/>
      </w:pPr>
      <w:r>
        <w:rPr/>
      </w:r>
    </w:p>
    <w:p>
      <w:pPr>
        <w:pStyle w:val="Normal"/>
        <w:jc w:val="both"/>
        <w:rPr/>
      </w:pPr>
      <w:r>
        <w:rPr/>
      </w:r>
    </w:p>
    <w:p>
      <w:pPr>
        <w:pStyle w:val="Normal"/>
        <w:spacing w:before="0" w:after="120"/>
        <w:jc w:val="both"/>
        <w:rPr>
          <w:b/>
        </w:rPr>
      </w:pPr>
      <w:r>
        <w:rPr>
          <w:b/>
        </w:rPr>
        <w:t>RIDERS</w:t>
      </w:r>
    </w:p>
    <w:p>
      <w:pPr>
        <w:pStyle w:val="Normal"/>
        <w:spacing w:before="0" w:after="120"/>
        <w:jc w:val="both"/>
        <w:rPr>
          <w:b/>
        </w:rPr>
      </w:pPr>
      <w:r>
        <w:rPr>
          <w:b/>
        </w:rPr>
        <w:t>For use with EEI Master version 2.1 (modified 3/3/00)</w:t>
      </w:r>
    </w:p>
    <w:p>
      <w:pPr>
        <w:pStyle w:val="Normal"/>
        <w:spacing w:before="0" w:after="120"/>
        <w:jc w:val="both"/>
        <w:rPr/>
      </w:pPr>
      <w:r>
        <w:rPr>
          <w:b/>
          <w:caps/>
        </w:rPr>
        <w:t>1.</w:t>
        <w:tab/>
        <w:t xml:space="preserve">Rider </w:t>
      </w:r>
      <w:r>
        <w:rPr>
          <w:b/>
          <w:caps/>
          <w:u w:val="single"/>
        </w:rPr>
        <w:t>Agreement Governs referenced prior Transactions</w:t>
      </w:r>
    </w:p>
    <w:p>
      <w:pPr>
        <w:pStyle w:val="Justified"/>
        <w:rPr>
          <w:sz w:val="20"/>
        </w:rPr>
      </w:pPr>
      <w:r>
        <w:rPr>
          <w:sz w:val="20"/>
        </w:rPr>
        <w:t>If transactions under previously executed enabling agreements or long form confirmations remain to flow or be financially settled with a counterparty with whom an EEI Master is being negotiated, and the counterparty accepts EPMI’s requirement that such transactions be brought under the Master’s terms, then ADD THE FOLLOWING AS A LETTERED ITEM IN THE COVER SHEET’S “OTHER CHANGES” SECTION, UNDER “Part 1, General Terms And Conditions,” RELETTERING THE REMAINING NUMBERED ITEMS :</w:t>
      </w:r>
    </w:p>
    <w:p>
      <w:pPr>
        <w:pStyle w:val="Normal"/>
        <w:autoSpaceDE w:val="false"/>
        <w:spacing w:lineRule="atLeast" w:line="240"/>
        <w:jc w:val="both"/>
        <w:rPr/>
      </w:pPr>
      <w:r>
        <w:rPr/>
        <w:t xml:space="preserve">(b)  </w:t>
      </w:r>
      <w:r>
        <w:rPr>
          <w:b/>
          <w:bCs/>
        </w:rPr>
        <w:t>Prior Transactions.</w:t>
      </w:r>
      <w:r>
        <w:rPr/>
        <w:t xml:space="preserve">  The following is added as a separate second paragraph of Section 2.2:</w:t>
      </w:r>
    </w:p>
    <w:p>
      <w:pPr>
        <w:pStyle w:val="Normal"/>
        <w:autoSpaceDE w:val="false"/>
        <w:spacing w:lineRule="atLeast" w:line="240"/>
        <w:jc w:val="both"/>
        <w:rPr/>
      </w:pPr>
      <w:r>
        <w:rPr/>
      </w:r>
    </w:p>
    <w:p>
      <w:pPr>
        <w:pStyle w:val="Normal"/>
        <w:autoSpaceDE w:val="false"/>
        <w:spacing w:lineRule="atLeast" w:line="240" w:before="0" w:after="120"/>
        <w:jc w:val="both"/>
        <w:rPr/>
      </w:pPr>
      <w:r>
        <w:rPr/>
        <w:t xml:space="preserve">"Party A and Party B confirm that this Master Agreement shall supersede and replace all prior agreements between the parties hereto with respect to the subject matter hereof, including the __________ Agreement dated as of __________.  Party A and Party B confirm the terms of those Transactions referenced on </w:t>
      </w:r>
      <w:r>
        <w:rPr>
          <w:u w:val="single"/>
        </w:rPr>
        <w:t>Exhibit B</w:t>
      </w:r>
      <w:r>
        <w:rPr/>
        <w:t xml:space="preserve"> hereto as evidenced by the written confirmations with respect thereto, and agree that such Transactions are, effective as of the Effective Date, governed by this Master Agreement, and are part of the single integrated agreement between the Parties consistent with the first paragraph of this Section 2.2."</w:t>
      </w:r>
    </w:p>
    <w:p>
      <w:pPr>
        <w:pStyle w:val="Normal"/>
        <w:autoSpaceDE w:val="false"/>
        <w:spacing w:lineRule="atLeast" w:line="240" w:before="0" w:after="120"/>
        <w:jc w:val="both"/>
        <w:rPr/>
      </w:pPr>
      <w:r>
        <w:rPr>
          <w:b/>
          <w:bCs/>
        </w:rPr>
        <w:t xml:space="preserve">Confirmation.  </w:t>
      </w:r>
      <w:r>
        <w:rPr/>
        <w:t>Section 2.3 is hereby amended by deleting the text in its entirety and substituting the following:</w:t>
      </w:r>
    </w:p>
    <w:p>
      <w:pPr>
        <w:pStyle w:val="BodyTextIndent3"/>
        <w:rPr/>
      </w:pPr>
      <w:r>
        <w:rPr/>
        <w:t>Party A may confirm a Transaction by forwarding to Party B by facsimile within three (3) Business Days after the Transaction is entered into a confirmation ("Confirmation") substantially in the form of Exhibit A.  If Party B objects to any term(s) of such Confirmation, Party B shall notify Party A in writing of such objections within two (2) Business Days of Party B’s receipt thereof, failing which Party B shall be deemed to have accepted the terms as sent.  If Party A fails to send a Confirmation within three (3) Business Days after the Transaction is entered into, a Confirmation substantially in the form of Exhibit A, may be forwarded by Party B to Party A.  If Party A objects to any term(s) of such Confirmation, Party A shall notify Party B of such objections within two (2) Business Days of Party A's receipt thereof, failing which Party A shall be deemed to have accepted the terms as sent.  If Party A and Party B each send a Confirmation and neither Party objects to the other Party’s Confirmation within two (2) Business Days of receipt, Party A’s Confirmation shall be deemed to be accepted and shall be the controlling Confirmation, unless (i) Party A’s Confirmation was sent more than three (3) Business Days after the Transaction was entered into and (ii) Party B’s Confirmation was sent prior to Party A’s Confirmation, in which case Party B’s Confirmation shall be deemed to be accepted and shall be the controlling Confirmation.  Failure by either Party to send or either Party to return an executed Confirmation or any objection by either Party shall not invalidate the Transaction agreed to by the Parties.</w:t>
      </w:r>
    </w:p>
    <w:p>
      <w:pPr>
        <w:pStyle w:val="BodyTextIndent2"/>
        <w:ind w:hanging="270" w:start="630" w:end="0"/>
        <w:jc w:val="both"/>
        <w:rPr>
          <w:rFonts w:ascii="Helv;Arial" w:hAnsi="Helv;Arial" w:cs="Helv;Arial"/>
          <w:color w:val="000000"/>
        </w:rPr>
      </w:pPr>
      <w:r>
        <w:rPr>
          <w:color w:val="000000"/>
        </w:rPr>
        <w:t>*</w:t>
        <w:tab/>
        <w:t xml:space="preserve">Please note that this language may need to be tailored, depending on whether Enron is Party A or Party B.   </w:t>
      </w:r>
    </w:p>
    <w:p>
      <w:pPr>
        <w:pStyle w:val="Normal"/>
        <w:spacing w:before="0" w:after="120"/>
        <w:jc w:val="both"/>
        <w:rPr/>
      </w:pPr>
      <w:r>
        <w:rPr>
          <w:b/>
          <w:caps/>
        </w:rPr>
        <w:t xml:space="preserve">2.           Rider </w:t>
      </w:r>
      <w:r>
        <w:rPr>
          <w:b/>
          <w:caps/>
          <w:u w:val="single"/>
        </w:rPr>
        <w:t>dOWNGRADE eVENT</w:t>
      </w:r>
      <w:r>
        <w:rPr>
          <w:b/>
          <w:caps/>
        </w:rPr>
        <w:t xml:space="preserve">:  </w:t>
      </w:r>
    </w:p>
    <w:p>
      <w:pPr>
        <w:pStyle w:val="Normal"/>
        <w:numPr>
          <w:ilvl w:val="0"/>
          <w:numId w:val="3"/>
        </w:numPr>
        <w:spacing w:before="0" w:after="120"/>
        <w:jc w:val="both"/>
        <w:rPr>
          <w:b/>
          <w:caps/>
        </w:rPr>
      </w:pPr>
      <w:r>
        <w:rPr>
          <w:b/>
          <w:caps/>
        </w:rPr>
        <w:t>CHECK THE BOX IDENTIFIED AS “OTHER” IN SECTION 8.1 (</w:t>
      </w:r>
      <w:r>
        <w:rPr>
          <w:b/>
        </w:rPr>
        <w:t>d</w:t>
      </w:r>
      <w:r>
        <w:rPr>
          <w:b/>
          <w:caps/>
        </w:rPr>
        <w:t xml:space="preserve">),  </w:t>
      </w:r>
    </w:p>
    <w:p>
      <w:pPr>
        <w:pStyle w:val="Normal"/>
        <w:numPr>
          <w:ilvl w:val="0"/>
          <w:numId w:val="4"/>
        </w:numPr>
        <w:spacing w:before="0" w:after="120"/>
        <w:jc w:val="both"/>
        <w:rPr>
          <w:b/>
          <w:caps/>
        </w:rPr>
      </w:pPr>
      <w:r>
        <w:rPr>
          <w:b/>
          <w:caps/>
        </w:rPr>
        <w:t>select From below per Credit Memo AND Add THE PERTINENT Text from the following list in the Blank after “Specify” on the cover sheet:</w:t>
      </w:r>
    </w:p>
    <w:p>
      <w:pPr>
        <w:pStyle w:val="Normal"/>
        <w:spacing w:before="0" w:after="120"/>
        <w:jc w:val="both"/>
        <w:rPr>
          <w:b/>
          <w:caps/>
        </w:rPr>
      </w:pPr>
      <w:r>
        <w:rPr>
          <w:b/>
          <w:caps/>
        </w:rPr>
      </w:r>
    </w:p>
    <w:p>
      <w:pPr>
        <w:pStyle w:val="Justified"/>
        <w:rPr/>
      </w:pPr>
      <w:r>
        <w:rPr>
          <w:sz w:val="20"/>
        </w:rPr>
        <w:t xml:space="preserve">It shall be a Downgrade Event for Party B if, with respect to Party B, Party B [Party B’s Guarantor] shall have any of the following occur at any time:  (a) the ratio of its Funded Debt to its Net Worth is more than 1 to 1; or (b) its Net Worth falls below $____________.  </w:t>
      </w:r>
      <w:r>
        <w:rPr>
          <w:i/>
          <w:sz w:val="20"/>
        </w:rPr>
        <w:t>"</w:t>
      </w:r>
      <w:r>
        <w:rPr>
          <w:i/>
          <w:sz w:val="20"/>
          <w:u w:val="single"/>
        </w:rPr>
        <w:t>Funded Debt</w:t>
      </w:r>
      <w:r>
        <w:rPr>
          <w:sz w:val="20"/>
        </w:rPr>
        <w:t xml:space="preserve">" means, with respect to the specified entity, indebtedness of such entity that by its terms matures more than one year from the date at which any calculation of Funded Debt is made.  </w:t>
      </w:r>
      <w:r>
        <w:rPr>
          <w:i/>
          <w:sz w:val="20"/>
        </w:rPr>
        <w:t>"</w:t>
      </w:r>
      <w:r>
        <w:rPr>
          <w:i/>
          <w:sz w:val="20"/>
          <w:u w:val="single"/>
        </w:rPr>
        <w:t>Net Worth</w:t>
      </w:r>
      <w:r>
        <w:rPr>
          <w:sz w:val="20"/>
        </w:rPr>
        <w:t xml:space="preserve">" means, with respect to the specified entity, such entity's total assets (exclusive of intangible assets), </w:t>
      </w:r>
      <w:r>
        <w:rPr>
          <w:sz w:val="20"/>
          <w:u w:val="single"/>
        </w:rPr>
        <w:t>minus</w:t>
      </w:r>
      <w:r>
        <w:rPr>
          <w:sz w:val="20"/>
        </w:rPr>
        <w:t xml:space="preserve"> such entity's total liabilities, each as would be reflected on a balance sheet of the specified entity prepared in accordance with GAAP.</w:t>
      </w:r>
    </w:p>
    <w:p>
      <w:pPr>
        <w:pStyle w:val="Justified"/>
        <w:rPr>
          <w:sz w:val="20"/>
        </w:rPr>
      </w:pPr>
      <w:r>
        <w:rPr>
          <w:sz w:val="20"/>
        </w:rPr>
        <w:t>or</w:t>
      </w:r>
    </w:p>
    <w:p>
      <w:pPr>
        <w:pStyle w:val="Justified"/>
        <w:rPr/>
      </w:pPr>
      <w:r>
        <w:rPr>
          <w:sz w:val="20"/>
        </w:rPr>
        <w:t xml:space="preserve">It shall be a Downgrade Event for Party B if Party B </w:t>
      </w:r>
      <w:r>
        <w:rPr>
          <w:b/>
          <w:sz w:val="20"/>
        </w:rPr>
        <w:t>[</w:t>
      </w:r>
      <w:r>
        <w:rPr>
          <w:sz w:val="20"/>
        </w:rPr>
        <w:t>Party B’s Guarantor</w:t>
      </w:r>
      <w:r>
        <w:rPr>
          <w:b/>
          <w:sz w:val="20"/>
        </w:rPr>
        <w:t>]</w:t>
      </w:r>
      <w:r>
        <w:rPr>
          <w:sz w:val="20"/>
        </w:rPr>
        <w:t xml:space="preserve"> shall have a Current Ratio less than ____ to 1.00 at the end of any fiscal quarter. </w:t>
      </w:r>
      <w:r>
        <w:rPr>
          <w:i/>
          <w:sz w:val="20"/>
        </w:rPr>
        <w:t>"</w:t>
      </w:r>
      <w:r>
        <w:rPr>
          <w:i/>
          <w:sz w:val="20"/>
          <w:u w:val="single"/>
        </w:rPr>
        <w:t>Current Ratio</w:t>
      </w:r>
      <w:r>
        <w:rPr>
          <w:sz w:val="20"/>
        </w:rPr>
        <w:t>" means the ratio of current assets, exclusive of intangible assets and notes receivable, and current liabilities of the specified entity, each determined in accordance with GAAP.</w:t>
      </w:r>
    </w:p>
    <w:p>
      <w:pPr>
        <w:pStyle w:val="Justified"/>
        <w:rPr>
          <w:sz w:val="20"/>
        </w:rPr>
      </w:pPr>
      <w:r>
        <w:rPr>
          <w:sz w:val="20"/>
        </w:rPr>
        <w:t>or</w:t>
      </w:r>
    </w:p>
    <w:p>
      <w:pPr>
        <w:pStyle w:val="Justified"/>
        <w:rPr/>
      </w:pPr>
      <w:r>
        <w:rPr>
          <w:sz w:val="20"/>
        </w:rPr>
        <w:t xml:space="preserve">It shall be a Downgrade Event for Party B if Party B </w:t>
      </w:r>
      <w:r>
        <w:rPr>
          <w:b/>
          <w:sz w:val="20"/>
        </w:rPr>
        <w:t>[</w:t>
      </w:r>
      <w:r>
        <w:rPr>
          <w:sz w:val="20"/>
        </w:rPr>
        <w:t>Party B’s Guarantor</w:t>
      </w:r>
      <w:r>
        <w:rPr>
          <w:b/>
          <w:sz w:val="20"/>
        </w:rPr>
        <w:t>]</w:t>
      </w:r>
      <w:r>
        <w:rPr>
          <w:sz w:val="20"/>
        </w:rPr>
        <w:t xml:space="preserve"> shall have a Cash Flow Ratio less than 1.00 to 1.00 at the end of any fiscal quarter.</w:t>
      </w:r>
      <w:r>
        <w:rPr>
          <w:b/>
          <w:i/>
          <w:sz w:val="20"/>
        </w:rPr>
        <w:t xml:space="preserve"> </w:t>
      </w:r>
      <w:r>
        <w:rPr>
          <w:i/>
          <w:sz w:val="20"/>
        </w:rPr>
        <w:t>"</w:t>
      </w:r>
      <w:r>
        <w:rPr>
          <w:i/>
          <w:sz w:val="20"/>
          <w:u w:val="single"/>
        </w:rPr>
        <w:t>Cash Flow</w:t>
      </w:r>
      <w:r>
        <w:rPr>
          <w:i/>
          <w:sz w:val="20"/>
        </w:rPr>
        <w:t>"</w:t>
      </w:r>
      <w:r>
        <w:rPr>
          <w:sz w:val="20"/>
        </w:rPr>
        <w:t xml:space="preserve"> means, for any preceding twelve (12) month period, the sum (without duplication) of net income </w:t>
      </w:r>
      <w:r>
        <w:rPr>
          <w:sz w:val="20"/>
          <w:u w:val="single"/>
        </w:rPr>
        <w:t>plus</w:t>
      </w:r>
      <w:r>
        <w:rPr>
          <w:sz w:val="20"/>
        </w:rPr>
        <w:t xml:space="preserve"> depreciation, amortization, and other non-cash charges, to the extent deducted in determining net income, all as determined in accordance with GAAP. </w:t>
      </w:r>
      <w:r>
        <w:rPr>
          <w:i/>
          <w:sz w:val="20"/>
        </w:rPr>
        <w:t>"</w:t>
      </w:r>
      <w:r>
        <w:rPr>
          <w:i/>
          <w:sz w:val="20"/>
          <w:u w:val="single"/>
        </w:rPr>
        <w:t>Cash Flow Ratio</w:t>
      </w:r>
      <w:r>
        <w:rPr>
          <w:i/>
          <w:sz w:val="20"/>
        </w:rPr>
        <w:t>"</w:t>
      </w:r>
      <w:r>
        <w:rPr>
          <w:sz w:val="20"/>
        </w:rPr>
        <w:t xml:space="preserve"> means the ratio of Cash Flow to current maturities of long term debt of the specified entity determined in accordance with GAAP. </w:t>
      </w:r>
    </w:p>
    <w:p>
      <w:pPr>
        <w:pStyle w:val="Justified"/>
        <w:rPr>
          <w:sz w:val="20"/>
        </w:rPr>
      </w:pPr>
      <w:r>
        <w:rPr>
          <w:sz w:val="20"/>
        </w:rPr>
        <w:t>or</w:t>
      </w:r>
    </w:p>
    <w:p>
      <w:pPr>
        <w:pStyle w:val="Justified"/>
        <w:rPr>
          <w:sz w:val="20"/>
        </w:rPr>
      </w:pPr>
      <w:r>
        <w:rPr>
          <w:sz w:val="20"/>
        </w:rPr>
        <w:t>It shall be a Downgrade Event for Party B if Party B ceases to be owned or otherwise controlled by its current ultimate parent entity.  As used herein, "owned or otherwise controlled by" means the direct or indirect ownership of at least 51% of the outstanding capital stock or other equity interests of Party B having ordinary voting power.</w:t>
      </w:r>
    </w:p>
    <w:p>
      <w:pPr>
        <w:pStyle w:val="Normal"/>
        <w:spacing w:before="0" w:after="120"/>
        <w:jc w:val="both"/>
        <w:rPr/>
      </w:pPr>
      <w:r>
        <w:rPr/>
        <w:t>or</w:t>
      </w:r>
    </w:p>
    <w:p>
      <w:pPr>
        <w:pStyle w:val="Heading2"/>
        <w:ind w:hanging="0" w:start="0"/>
        <w:rPr/>
      </w:pPr>
      <w:r>
        <w:rPr>
          <w:sz w:val="20"/>
        </w:rPr>
        <w:t>It shall be a Downgrade Event for Party B if any of the following shall occur at any time:  (a) Party B [Party B’s Guarantor</w:t>
      </w:r>
      <w:r>
        <w:rPr>
          <w:b/>
          <w:sz w:val="20"/>
        </w:rPr>
        <w:t>]</w:t>
      </w:r>
      <w:r>
        <w:rPr>
          <w:sz w:val="20"/>
        </w:rPr>
        <w:t xml:space="preserve"> shall have long-term, senior, unsecured debt not supported by third party credit enhancement that (i) is rated by S&amp;P below "BBB-," (ii) is rated by Moody’s below "Baa3," or (iii) is not rated by either S&amp;P and/or Moody's, or (b) Party B ceases to be owned or otherwise controlled by its current ultimate parent entity.  As used herein, "owned or otherwise controlled by" means the direct or indirect ownership of at least fifty-one percent (51%) of the outstanding capital stock or other equity interests of Party B, having ordinary voting power.</w:t>
      </w:r>
    </w:p>
    <w:p>
      <w:pPr>
        <w:pStyle w:val="Heading2"/>
        <w:ind w:hanging="0" w:start="0"/>
        <w:rPr>
          <w:sz w:val="20"/>
        </w:rPr>
      </w:pPr>
      <w:r>
        <w:rPr>
          <w:sz w:val="20"/>
        </w:rPr>
        <w:t>or</w:t>
      </w:r>
    </w:p>
    <w:p>
      <w:pPr>
        <w:pStyle w:val="Justified"/>
        <w:rPr/>
      </w:pPr>
      <w:r>
        <w:rPr>
          <w:sz w:val="20"/>
        </w:rPr>
        <w:t xml:space="preserve">It shall be a Downgrade Event for Party B if Party B [Party B’s Guarantor] shall have any of the following occur at any time:  (a) its Net Worth falls below __________, or (b) its EBITDA Coverage Ratio shall be less than _______.  </w:t>
      </w:r>
      <w:r>
        <w:rPr>
          <w:i/>
          <w:sz w:val="20"/>
        </w:rPr>
        <w:t>"</w:t>
      </w:r>
      <w:r>
        <w:rPr>
          <w:i/>
          <w:sz w:val="20"/>
          <w:u w:val="single"/>
        </w:rPr>
        <w:t>EBITDA</w:t>
      </w:r>
      <w:r>
        <w:rPr>
          <w:i/>
          <w:sz w:val="20"/>
        </w:rPr>
        <w:t>"</w:t>
      </w:r>
      <w:r>
        <w:rPr>
          <w:sz w:val="20"/>
        </w:rPr>
        <w:t xml:space="preserve"> means for [Party B's] [Party B's Guarantor], for any period, the sum of the specified entity and its consolidated subsidiaries’, if any, net income from operations before [the effect of changes in accounting principles after the date of the Financial Statements and] extraordinary items, plus the following expenses or charges to the extent deducted from net income in such period: depreciation, amortization, depletion, interest expense, and income taxes, all determined in accordance with GAAP.  </w:t>
      </w:r>
      <w:r>
        <w:rPr>
          <w:i/>
          <w:sz w:val="20"/>
        </w:rPr>
        <w:t>"</w:t>
      </w:r>
      <w:r>
        <w:rPr>
          <w:i/>
          <w:sz w:val="20"/>
          <w:u w:val="single"/>
        </w:rPr>
        <w:t>EBITDA Coverage Ratio</w:t>
      </w:r>
      <w:r>
        <w:rPr>
          <w:i/>
          <w:sz w:val="20"/>
        </w:rPr>
        <w:t>"</w:t>
      </w:r>
      <w:r>
        <w:rPr>
          <w:sz w:val="20"/>
        </w:rPr>
        <w:t xml:space="preserve"> means, with respect to any period, the ratio of (i) EBITDA for such period to (ii) the aggregate amount of Interest Expense for such period.  </w:t>
      </w:r>
      <w:r>
        <w:rPr>
          <w:i/>
          <w:sz w:val="20"/>
        </w:rPr>
        <w:t>"</w:t>
      </w:r>
      <w:r>
        <w:rPr>
          <w:i/>
          <w:sz w:val="20"/>
          <w:u w:val="single"/>
        </w:rPr>
        <w:t>Interest Expense</w:t>
      </w:r>
      <w:r>
        <w:rPr>
          <w:sz w:val="20"/>
        </w:rPr>
        <w:t>" means, for any period, without duplication, the total interest expense of the specified entity and its consolidated subsidiaries, if any, including (i) interest expense attributable to capital leases, (ii) amortization of indebtedness discount and indebtedness insurance costs (including any original issue discount attributable to any issuance of equity securities and indebtedness securities), (iii) capitalized interest, (iv) non-cash interest payments, (v) commissions, discounts and other fees and charges owed with respect to letters of credit and bankers' acceptance financing, (vi) net cash costs under interest rate protection agreements (including amortization of fees), and (vii) interest actually paid by the specified entity or any of its consolidated subsidiaries, if any, under any guarantee of indebtedness or other obligations of any other person.</w:t>
      </w:r>
    </w:p>
    <w:p>
      <w:pPr>
        <w:pStyle w:val="Heading2"/>
        <w:ind w:hanging="0" w:start="0"/>
        <w:rPr/>
      </w:pPr>
      <w:r>
        <w:rPr/>
        <w:t>or</w:t>
      </w:r>
    </w:p>
    <w:p>
      <w:pPr>
        <w:pStyle w:val="Normal"/>
        <w:autoSpaceDE w:val="false"/>
        <w:spacing w:lineRule="atLeast" w:line="240"/>
        <w:jc w:val="both"/>
        <w:rPr>
          <w:szCs w:val="18"/>
        </w:rPr>
      </w:pPr>
      <w:r>
        <w:rPr>
          <w:szCs w:val="18"/>
        </w:rPr>
        <w:t>"It shall be a Downgrade Event with respect to Party B if, in the reasonable opinion of Party A, a material change has occurred in the creditworthiness, financial condition or ongoing business of Party B that may adversely affect Party B’s ability to perform hereunder."</w:t>
      </w:r>
    </w:p>
    <w:p>
      <w:pPr>
        <w:pStyle w:val="Heading2"/>
        <w:ind w:hanging="0" w:start="0"/>
        <w:rPr>
          <w:szCs w:val="18"/>
        </w:rPr>
      </w:pPr>
      <w:r>
        <w:rPr>
          <w:szCs w:val="18"/>
        </w:rPr>
      </w:r>
    </w:p>
    <w:p>
      <w:pPr>
        <w:pStyle w:val="Normal"/>
        <w:spacing w:before="0" w:after="120"/>
        <w:jc w:val="both"/>
        <w:rPr/>
      </w:pPr>
      <w:r>
        <w:rPr>
          <w:b/>
          <w:caps/>
        </w:rPr>
        <w:t>3.</w:t>
        <w:tab/>
        <w:t xml:space="preserve">Rider </w:t>
      </w:r>
      <w:r>
        <w:rPr>
          <w:b/>
          <w:caps/>
          <w:u w:val="single"/>
        </w:rPr>
        <w:t>Taxes</w:t>
      </w:r>
    </w:p>
    <w:p>
      <w:pPr>
        <w:pStyle w:val="Justified"/>
        <w:rPr>
          <w:sz w:val="20"/>
        </w:rPr>
      </w:pPr>
      <w:r>
        <w:rPr>
          <w:sz w:val="20"/>
        </w:rPr>
        <w:t>If transactions greater than one year in length are contemplated under a Master with a counterparty, or if there is a known prospect of the imposition by a state or other jurisdiction of new taxes of the sort referenced below, including but not limited to taxes levied on “on-line” trading, then ADD THE FOLLOWING AS A LETTERED ITEM IN THE COVER SHEET’S “OTHER CHANGES” SECTION, UNDER “Part 1, General Terms And Conditions”, RELETTERING THE REMAINING NUMBERED ITEMS :</w:t>
      </w:r>
    </w:p>
    <w:p>
      <w:pPr>
        <w:pStyle w:val="Heading2"/>
        <w:tabs>
          <w:tab w:val="clear" w:pos="720"/>
          <w:tab w:val="left" w:pos="360" w:leader="none"/>
        </w:tabs>
        <w:ind w:hanging="0" w:start="0"/>
        <w:rPr/>
      </w:pPr>
      <w:r>
        <w:rPr>
          <w:sz w:val="20"/>
        </w:rPr>
        <w:t xml:space="preserve">(i)   </w:t>
      </w:r>
      <w:r>
        <w:rPr>
          <w:b/>
          <w:sz w:val="20"/>
        </w:rPr>
        <w:t>New Taxes</w:t>
      </w:r>
      <w:r>
        <w:rPr>
          <w:sz w:val="20"/>
        </w:rPr>
        <w:t>.  The following section is added as Section 9.3:</w:t>
      </w:r>
    </w:p>
    <w:p>
      <w:pPr>
        <w:pStyle w:val="Heading2"/>
        <w:tabs>
          <w:tab w:val="clear" w:pos="720"/>
          <w:tab w:val="left" w:pos="810" w:leader="none"/>
        </w:tabs>
        <w:ind w:hanging="0" w:start="360" w:end="0"/>
        <w:rPr/>
      </w:pPr>
      <w:r>
        <w:rPr>
          <w:sz w:val="20"/>
        </w:rPr>
        <w:t>9.3.</w:t>
        <w:tab/>
      </w:r>
      <w:r>
        <w:rPr>
          <w:b/>
          <w:sz w:val="20"/>
        </w:rPr>
        <w:t>New Taxes</w:t>
      </w:r>
      <w:r>
        <w:rPr>
          <w:sz w:val="20"/>
        </w:rPr>
        <w:t xml:space="preserve">.  </w:t>
      </w:r>
    </w:p>
    <w:p>
      <w:pPr>
        <w:pStyle w:val="Heading6"/>
        <w:tabs>
          <w:tab w:val="clear" w:pos="720"/>
          <w:tab w:val="left" w:pos="1080" w:leader="none"/>
        </w:tabs>
        <w:ind w:start="0" w:end="0"/>
        <w:rPr>
          <w:sz w:val="20"/>
        </w:rPr>
      </w:pPr>
      <w:r>
        <w:rPr>
          <w:sz w:val="20"/>
        </w:rPr>
        <w:t>(a)</w:t>
        <w:tab/>
        <w:t>"Taxes" as used in this Section means any or all ad valorem, property, occupation, severance, generation, first use, conservation, Btu or energy, transmission, utility, gross receipts, privilege, sales, use, consumption, excise, lease, transaction, and other taxes or governmental charges, licenses, fees, permits and assessments, or increases therein, other than taxes based on net income or net worth.  Notwithstanding any other provision of this Agreement to the contrary, if (i) a new Tax is imposed, and (ii) Buyer or Seller would be responsible for such new Tax, and (iii) such new Tax is (as a result of laws, regulations, and applicable contracts of Buyer in effect as of the effective date of the new Tax) of the type that Buyer can pass directly through to, or be reimbursed by, another person or entity, Buyer shall pay or cause to be paid, or reimburse Seller if Seller has paid, all such new Taxes, and Buyer shall indemnify, defend, and hold harmless Seller from any Claims for such new Taxes.</w:t>
      </w:r>
    </w:p>
    <w:p>
      <w:pPr>
        <w:pStyle w:val="Normal"/>
        <w:tabs>
          <w:tab w:val="clear" w:pos="720"/>
          <w:tab w:val="left" w:pos="1080" w:leader="none"/>
        </w:tabs>
        <w:spacing w:before="0" w:after="120"/>
        <w:jc w:val="both"/>
        <w:rPr/>
      </w:pPr>
      <w:r>
        <w:rPr/>
        <w:t>(b)</w:t>
        <w:tab/>
        <w:t>If (i) a new Tax occurs, and (ii) Buyer or Seller would be responsible for paying such new Tax, and (iii) Paragraph (a) does not apply, the Party responsible for the new Tax ("Affected Party") shall be entitled to declare an Early Termination Date with respect to those Transactions affected by the new Tax ("Affected Transactions") in accordance with the provisions of this Agreement, subject to the following conditions:  (a) the Affected Party must give the other Party ("Non-Affected Party") at least thirty (30) days’ prior written notice (the "Agreement Period") of its intent to declare an Early Termination Date, which notice shall be given no later than ninety (90) days after the later of the enactment or effective date of the relevant new Tax, and, prior to the proposed Early Termination Date, Buyer and Seller shall attempt to reach a mutual agreement as to the sharing of the new Tax; (b) if a mutual sharing agreement is not reached, the Non-Affected Party shall have the right, but not the obligation, upon written notice to the Affected Party within the Agreement Period, to pay the new Tax for any continuous period it so elects on a month to month basis, and in such case the Affected Party shall not have the right during such continuous period to declare the Early Termination Date on the basis of the new Tax; (c) if the Non-Affected Party at its election agrees to pay the new Tax on a month-to-month basis, then upon thirty (30) days’ prior written notice to the Affected Party of its election to cease payment of such new Tax, the Affected Party shall then be liable for the payment of the new Tax, and the Parties shall again be subject to this Section 9.3 as if the new Tax had an effective date as of the date the Non-Affected Party ceases payment of such new Tax; (d) if a mutual sharing agreement is not reached and the Non-Affected Party does not elect to pay the new Tax for any period of time within the Agreement Period, the Early Termination Date shall take effect and all Affected Transactions must be terminated and be subject to the same Early Termination Date; (e) the Early Termination Date shall be effected as if an Event of Default had occurred; provided both Seller and Buyer shall calculate in a commercially reasonable manner their net Gain (amount of Gain after netting Losses and Costs) or net Loss (amount of Losses and Costs after netting Gains) resulting from the termination of all Affected Transactions in accordance with Section 5.3 as if they each were a Non-Defaulting Party, and provided further that each Party’s Gains and Losses shall be determined without taking into effect the impact of the new Taxes; (f) (i) if both Parties have a net Gain, the party with the greater net Gain shall pay to the other party fifty percent (50%) of the difference between the two (2) net Gains; (ii) if both Parties have a net Loss, the party with the lesser net Loss shall pay to the other party fifty percent (50%) of the absolute value of the difference between the two (2) net Losses; and (iii) if one party shall have a net Gain and the other party shall have a net Loss, the party with the net Gain shall pay to the other party fifty percent (50%) of the sum of the absolute value of the net Gain and the absolute value of the net Loss; and (g) such payment shall be payable as provided in Section 5.4.  Prior to and including the initial Agreement Period invoked under this Section 9.3, new Taxes shall be allocated as if they were Taxes as provided in Section 9.2.  The intent of this Section 9.3 is to leave neither party with an unfair burden as a result of new Taxes.</w:t>
      </w:r>
    </w:p>
    <w:p>
      <w:pPr>
        <w:pStyle w:val="Normal"/>
        <w:spacing w:before="0" w:after="120"/>
        <w:jc w:val="both"/>
        <w:rPr/>
      </w:pPr>
      <w:r>
        <w:rPr>
          <w:b/>
          <w:caps/>
        </w:rPr>
        <w:t>4.</w:t>
        <w:tab/>
        <w:t xml:space="preserve">Rider </w:t>
      </w:r>
      <w:r>
        <w:rPr>
          <w:b/>
          <w:caps/>
          <w:u w:val="single"/>
        </w:rPr>
        <w:t>AGENCY</w:t>
      </w:r>
    </w:p>
    <w:p>
      <w:pPr>
        <w:pStyle w:val="Normal"/>
        <w:jc w:val="both"/>
        <w:rPr/>
      </w:pPr>
      <w:r>
        <w:rPr/>
        <w:t xml:space="preserve">If a Master under negotiation with a counterparty, which counterparty is, determined by due diligence or by the counterparty’s disclosure to be, acting as agent for one or more disclosed or undisclosed principals, then use the following guidelines to add/negotiate into the Master provisions protecting the credit position of EPMI against Party B and the principals.  The following provisions are drafted with reference to the most common situation—a Service Company acting on behalf of one or more Operating Utilities under a General Services Agreement and would need to be adapted to fit other circumstances: </w:t>
      </w:r>
    </w:p>
    <w:p>
      <w:pPr>
        <w:pStyle w:val="Normal"/>
        <w:jc w:val="both"/>
        <w:rPr/>
      </w:pPr>
      <w:r>
        <w:rPr/>
      </w:r>
    </w:p>
    <w:p>
      <w:pPr>
        <w:pStyle w:val="BodyText"/>
        <w:numPr>
          <w:ilvl w:val="0"/>
          <w:numId w:val="2"/>
        </w:numPr>
        <w:ind w:hanging="0" w:start="0" w:end="0"/>
        <w:jc w:val="both"/>
        <w:rPr/>
      </w:pPr>
      <w:r>
        <w:rPr/>
        <w:t>On the first page of the cover sheet, the Party B should be clearly identified as authorized agent acting for and on behalf of the named principal(s) (the “Operating Utilities”) pursuant to an identified agreement establishing such agency. Also, revise the defined term “Counterparty” or “Party B” as follows:  “Counterparty” or “Party B” or “Service Company”.  [Outside counsel has suggested that, if possible, a reference or schedule be included that identifies each Operating Utility’s pro rata interest in goods and services purchased on behalf of the principals under the Master Agreement.  This specificity will generally not be acceptable to such parties.]</w:t>
      </w:r>
    </w:p>
    <w:p>
      <w:pPr>
        <w:pStyle w:val="BodyText"/>
        <w:jc w:val="both"/>
        <w:rPr/>
      </w:pPr>
      <w:r>
        <w:rPr/>
        <w:t xml:space="preserve"> </w:t>
      </w:r>
      <w:r>
        <w:rPr/>
        <w:t xml:space="preserve">(example: Ameren Energy, Inc., as authorized agent acting for and on behalf of Union Electric Company and Central Illinois Public Service Company (the “Operating Utilities”) pursuant to the General Services Agreement and Agency Agreement, dated ______, by and between Ameren Energy, Inc., Union Electric Company and Central Illinois Public Service Company (the “Agency Agreement”).”  </w:t>
      </w:r>
    </w:p>
    <w:p>
      <w:pPr>
        <w:pStyle w:val="Normal"/>
        <w:jc w:val="both"/>
        <w:rPr/>
      </w:pPr>
      <w:r>
        <w:rPr/>
      </w:r>
    </w:p>
    <w:p>
      <w:pPr>
        <w:pStyle w:val="Normal"/>
        <w:jc w:val="both"/>
        <w:rPr>
          <w:i/>
          <w:i/>
        </w:rPr>
      </w:pPr>
      <w:r>
        <w:rPr>
          <w:i/>
        </w:rPr>
        <w:t xml:space="preserve">and </w:t>
      </w:r>
    </w:p>
    <w:p>
      <w:pPr>
        <w:pStyle w:val="BodyText"/>
        <w:jc w:val="both"/>
        <w:rPr>
          <w:i/>
          <w:i/>
        </w:rPr>
      </w:pPr>
      <w:r>
        <w:rPr>
          <w:i/>
        </w:rPr>
      </w:r>
    </w:p>
    <w:p>
      <w:pPr>
        <w:pStyle w:val="BodyText"/>
        <w:numPr>
          <w:ilvl w:val="0"/>
          <w:numId w:val="2"/>
        </w:numPr>
        <w:ind w:hanging="0" w:start="0" w:end="0"/>
        <w:jc w:val="both"/>
        <w:rPr/>
      </w:pPr>
      <w:r>
        <w:rPr/>
        <w:t>ADD THE FOLLOWING AS A LETTERED ITEM IN THE COVER SHEET’S “OTHER CHANGES” SECTION, UNDER “Part 1, General Terms And Conditions”, RELETTERING THE REMAINING NUMBERED ITEMS</w:t>
      </w:r>
    </w:p>
    <w:p>
      <w:pPr>
        <w:pStyle w:val="BodyText"/>
        <w:numPr>
          <w:ilvl w:val="0"/>
          <w:numId w:val="6"/>
        </w:numPr>
        <w:tabs>
          <w:tab w:val="clear" w:pos="720"/>
          <w:tab w:val="left" w:pos="0" w:leader="none"/>
        </w:tabs>
        <w:ind w:hanging="0" w:start="0" w:end="0"/>
        <w:jc w:val="both"/>
        <w:rPr/>
      </w:pPr>
      <w:r>
        <w:rPr>
          <w:b/>
        </w:rPr>
        <w:t>Counterparty B’s Obligations Where Counterparty B acts as Agent</w:t>
      </w:r>
      <w:r>
        <w:rPr/>
        <w:t xml:space="preserve">.  The following provision is added to the first sentence of Section 3.1 following the phrase:   “. . . and Buyer shall pay Seller the Contract Price”:  </w:t>
      </w:r>
    </w:p>
    <w:p>
      <w:pPr>
        <w:pStyle w:val="BodyText"/>
        <w:jc w:val="both"/>
        <w:rPr/>
      </w:pPr>
      <w:r>
        <w:rPr/>
        <w:t>“</w:t>
      </w:r>
      <w:r>
        <w:rPr/>
        <w:t>regardless of whether the applicable state public utility commission[s] allow for the amounts paid by the Operating Utilities to the Service Company pursuant to the [Agency Agreement] to be recovered in customer rates.”</w:t>
      </w:r>
    </w:p>
    <w:p>
      <w:pPr>
        <w:pStyle w:val="BodyText"/>
        <w:jc w:val="both"/>
        <w:rPr>
          <w:i/>
          <w:i/>
        </w:rPr>
      </w:pPr>
      <w:r>
        <w:rPr>
          <w:i/>
        </w:rPr>
        <w:t xml:space="preserve">and </w:t>
      </w:r>
    </w:p>
    <w:p>
      <w:pPr>
        <w:pStyle w:val="BodyText"/>
        <w:numPr>
          <w:ilvl w:val="0"/>
          <w:numId w:val="2"/>
        </w:numPr>
        <w:ind w:hanging="0" w:start="0" w:end="0"/>
        <w:jc w:val="both"/>
        <w:rPr/>
      </w:pPr>
      <w:r>
        <w:rPr/>
        <w:t xml:space="preserve">ADD THE FOLLOWING AS A LETTERED ITEM IN THE COVER SHEET’S “OTHER CHANGES” SECTION, UNDER “Part 1, General Terms And Conditions,” RELETTERING THE REMAINING NUMBERED ITEMS </w:t>
      </w:r>
    </w:p>
    <w:p>
      <w:pPr>
        <w:pStyle w:val="BodyText"/>
        <w:jc w:val="both"/>
        <w:rPr/>
      </w:pPr>
      <w:r>
        <w:rPr/>
        <w:t xml:space="preserve">(i)  </w:t>
      </w:r>
      <w:r>
        <w:rPr>
          <w:b/>
        </w:rPr>
        <w:t>Representations and Warranties Relating to Agency.</w:t>
      </w:r>
      <w:r>
        <w:rPr/>
        <w:t xml:space="preserve">  The following is added to the end of Section 10.2:  </w:t>
      </w:r>
    </w:p>
    <w:p>
      <w:pPr>
        <w:pStyle w:val="BodyText"/>
        <w:jc w:val="both"/>
        <w:rPr/>
      </w:pPr>
      <w:r>
        <w:rPr/>
        <w:t>“</w:t>
      </w:r>
      <w:r>
        <w:rPr/>
        <w:t>Furthermore, Party B represents and warrants that: (a) each of the Operating Utilities is duly organized, validly existing, and in good standing under the applicable laws of the jurisdiction of its formation; (b) the execution, delivery, and performance of this Agreement are within the scope of its agency for the Operating Utilities pursuant to the Agency Agreement; (c) the Agency Agreement is in full force and effect and represents a valid and binding obligation of each of the Operating Utilities to accept and pay for the goods and services being obtained by the Service Company under the Agreement; (d) each of Operating Utilities has all regulatory authorizations necessary for each of them to legally perform its obligations under this Agreement and the Agency Agreement; (e) each of the Operating Utilities will be responsible for the obligations incurred under this Agreement on their behalf by the Service Company as their authorized agent; (f) there are no bankruptcy, insolvency, reorganization, receivership, or other arrangement proceedings pending or being contemplated by either of the Operating Utilities [or the Registered Holding Company] or to the Service Company's knowledge threatened against any of them; (g) there are no suits, proceedings, judgments, rulings, or orders by or before any court or any governmental authority that may materially adversely affect any of the Operating Utilities’ respective abilities to perform this Agreement or the Agency Agreement; and (h) Party B has obtained all necessary or appropriate consents, commitments, and undertakings from the Operating Companies to assure the foregoing representations and warranties. The Service Company hereby acknowledges that Party A has entered into the Agreement in reliance upon the representations set forth in this Section 10.2 and that Party A would not be willing to enter into any Transaction with the Service Company in the absence of these representations.”</w:t>
      </w:r>
    </w:p>
    <w:p>
      <w:pPr>
        <w:pStyle w:val="BodyText"/>
        <w:numPr>
          <w:ilvl w:val="0"/>
          <w:numId w:val="2"/>
        </w:numPr>
        <w:tabs>
          <w:tab w:val="clear" w:pos="720"/>
          <w:tab w:val="left" w:pos="0" w:leader="none"/>
        </w:tabs>
        <w:ind w:firstLine="360" w:start="0" w:end="0"/>
        <w:jc w:val="both"/>
        <w:rPr>
          <w:i/>
          <w:i/>
          <w:iCs/>
        </w:rPr>
      </w:pPr>
      <w:r>
        <w:rPr>
          <w:i/>
          <w:iCs/>
        </w:rPr>
        <w:t>If a rated parent company is in place as to all Operating Utilities and Party B, seek a parent company guaranty of  the obligations of Party B under the Master Agreement.</w:t>
      </w:r>
    </w:p>
    <w:p>
      <w:pPr>
        <w:pStyle w:val="BodyText"/>
        <w:numPr>
          <w:ilvl w:val="0"/>
          <w:numId w:val="2"/>
        </w:numPr>
        <w:tabs>
          <w:tab w:val="clear" w:pos="720"/>
          <w:tab w:val="left" w:pos="0" w:leader="none"/>
        </w:tabs>
        <w:ind w:firstLine="360" w:start="0" w:end="0"/>
        <w:jc w:val="both"/>
        <w:rPr/>
      </w:pPr>
      <w:r>
        <w:rPr/>
        <w:t>Attempt to obtain from each Operating Utility an executed Consent and Acknowledgment in the form shown as the attachment below.</w:t>
      </w:r>
    </w:p>
    <w:p>
      <w:pPr>
        <w:pStyle w:val="Normal"/>
        <w:jc w:val="both"/>
        <w:rPr/>
      </w:pPr>
      <w:r>
        <w:rPr>
          <w:b/>
        </w:rPr>
        <w:t xml:space="preserve">Attachment to EEI Master Power Purchase </w:t>
      </w:r>
      <w:r>
        <w:rPr>
          <w:rFonts w:eastAsia="Symbol" w:cs="Symbol" w:ascii="Symbol" w:hAnsi="Symbol"/>
          <w:b/>
        </w:rPr>
        <w:sym w:font="Symbol" w:char="f026"/>
      </w:r>
      <w:r>
        <w:rPr>
          <w:b/>
        </w:rPr>
        <w:t xml:space="preserve"> Sale Agreement:</w:t>
      </w:r>
    </w:p>
    <w:p>
      <w:pPr>
        <w:pStyle w:val="Normal"/>
        <w:jc w:val="both"/>
        <w:rPr>
          <w:b/>
        </w:rPr>
      </w:pPr>
      <w:r>
        <w:rPr>
          <w:b/>
        </w:rPr>
      </w:r>
    </w:p>
    <w:p>
      <w:pPr>
        <w:pStyle w:val="Normal"/>
        <w:jc w:val="both"/>
        <w:rPr/>
      </w:pPr>
      <w:r>
        <w:rPr/>
        <w:t>CONSENT AND ACKNOWLEDGMENT</w:t>
      </w:r>
    </w:p>
    <w:p>
      <w:pPr>
        <w:pStyle w:val="Normal"/>
        <w:jc w:val="both"/>
        <w:rPr/>
      </w:pPr>
      <w:r>
        <w:rPr/>
      </w:r>
    </w:p>
    <w:p>
      <w:pPr>
        <w:pStyle w:val="BodyText"/>
        <w:jc w:val="both"/>
        <w:rPr/>
      </w:pPr>
      <w:r>
        <w:rPr/>
        <w:tab/>
      </w:r>
      <w:r>
        <w:rPr>
          <w:i/>
        </w:rPr>
        <w:t>Whereas</w:t>
      </w:r>
      <w:r>
        <w:rPr/>
        <w:t xml:space="preserve">, [Service Company] is authorized [by order of the Securities and Exchange Commission dated [                          ]] to provide a variety of support services to [Names of Operating Utilities] (the “Operating Utilities”) and has entered into a [General Services Agreement], dated as of [                     ] (the “Agency Agreement”), with the Operating Utilities pursuant to which it is authorized to provide various services to the Operating Utilities, including, but not limited to, services relating to the procurement of power; </w:t>
      </w:r>
    </w:p>
    <w:p>
      <w:pPr>
        <w:pStyle w:val="BodyTextIndent"/>
        <w:rPr/>
      </w:pPr>
      <w:r>
        <w:rPr>
          <w:sz w:val="20"/>
        </w:rPr>
        <w:t xml:space="preserve">Now, therefore, each of the Operating Utilities (a) acknowledges that the Service Company is authorized, following execution of an EEI format Master Power Purchase </w:t>
      </w:r>
      <w:r>
        <w:rPr>
          <w:rFonts w:eastAsia="Symbol" w:cs="Symbol" w:ascii="Symbol" w:hAnsi="Symbol"/>
          <w:sz w:val="20"/>
        </w:rPr>
        <w:sym w:font="Symbol" w:char="f026"/>
      </w:r>
      <w:r>
        <w:rPr>
          <w:sz w:val="20"/>
        </w:rPr>
        <w:t xml:space="preserve"> Sale Agreement with such modifications as are agreed between Service Company and EPMI (the “Master Agreement”) and such other pertinent agreements referenced among the “Agreements” in the cover sheet of such Master Agreement, to enter into transactions with Enron Power Marketing, Inc. (“EPMI”) relating to the purchase and sale of various power products (each such transaction referred to herein as a “Transaction”) pursuant to a single agreement or a series of agreements as authorized agent for and on behalf and for the benefit of each of the Operating Utilities signatory hereto in accordance with the Agency Agreement; (b) consents thereto and to all of the terms and conditions of each Transaction effected by the Service Company; (c) acknowledges that it is responsible for all obligations incurred thereunder by the Service Company as the Operating Utilities’ agent under the Master Agreement; and (d) represents and warrants that it and the Service Company each have full power and authority, including all required regulatory authorizations, necessary to make and enter into each Transaction as the valid and binding agreement of each of them enforceable against them in accordance with its terms.</w:t>
      </w:r>
    </w:p>
    <w:p>
      <w:pPr>
        <w:pStyle w:val="BodyTextIndent"/>
        <w:rPr>
          <w:sz w:val="20"/>
        </w:rPr>
      </w:pPr>
      <w:r>
        <w:rPr>
          <w:sz w:val="20"/>
        </w:rPr>
      </w:r>
    </w:p>
    <w:p>
      <w:pPr>
        <w:pStyle w:val="BodyTextIndent"/>
        <w:rPr>
          <w:sz w:val="20"/>
        </w:rPr>
      </w:pPr>
      <w:r>
        <w:rPr>
          <w:sz w:val="20"/>
        </w:rPr>
        <w:t>Furthermore, each of the Operating Utilities hereby acknowledges that EPMI has entered or will enter into the Transactions in reliance upon the execution of this Consent and Acknowledgment by the Operating Utilities and that EPMI would not be willing to enter into any Transaction with the Service Company in the absence of this Consent and Acknowledgment.</w:t>
      </w:r>
    </w:p>
    <w:p>
      <w:pPr>
        <w:pStyle w:val="BodyTextIndent"/>
        <w:rPr>
          <w:sz w:val="20"/>
        </w:rPr>
      </w:pPr>
      <w:r>
        <w:rPr>
          <w:sz w:val="20"/>
        </w:rPr>
      </w:r>
    </w:p>
    <w:p>
      <w:pPr>
        <w:pStyle w:val="BodyTextIndent"/>
        <w:ind w:hanging="0" w:end="0"/>
        <w:rPr>
          <w:sz w:val="20"/>
        </w:rPr>
      </w:pPr>
      <w:r>
        <w:rPr>
          <w:sz w:val="20"/>
        </w:rPr>
        <w:t>OPERATING UTILITY</w:t>
      </w:r>
    </w:p>
    <w:p>
      <w:pPr>
        <w:pStyle w:val="BodyTextIndent"/>
        <w:ind w:hanging="0" w:end="0"/>
        <w:rPr>
          <w:sz w:val="20"/>
        </w:rPr>
      </w:pPr>
      <w:r>
        <w:rPr>
          <w:sz w:val="20"/>
        </w:rPr>
      </w:r>
    </w:p>
    <w:p>
      <w:pPr>
        <w:pStyle w:val="BodyTextIndent"/>
        <w:ind w:hanging="0" w:end="0"/>
        <w:rPr>
          <w:sz w:val="20"/>
        </w:rPr>
      </w:pPr>
      <w:r>
        <w:rPr>
          <w:sz w:val="20"/>
        </w:rPr>
        <w:t xml:space="preserve">By: </w:t>
      </w:r>
    </w:p>
    <w:p>
      <w:pPr>
        <w:pStyle w:val="BodyTextIndent"/>
        <w:ind w:hanging="0" w:end="0"/>
        <w:rPr>
          <w:sz w:val="20"/>
        </w:rPr>
      </w:pPr>
      <w:r>
        <w:rPr>
          <w:sz w:val="20"/>
        </w:rPr>
        <w:t>Name:</w:t>
      </w:r>
    </w:p>
    <w:p>
      <w:pPr>
        <w:pStyle w:val="BodyTextIndent"/>
        <w:ind w:hanging="0" w:end="0"/>
        <w:rPr>
          <w:sz w:val="20"/>
        </w:rPr>
      </w:pPr>
      <w:r>
        <w:rPr>
          <w:sz w:val="20"/>
        </w:rPr>
        <w:t>Its:</w:t>
      </w:r>
    </w:p>
    <w:p>
      <w:pPr>
        <w:pStyle w:val="BodyTextIndent"/>
        <w:ind w:hanging="0" w:end="0"/>
        <w:rPr>
          <w:sz w:val="20"/>
        </w:rPr>
      </w:pPr>
      <w:r>
        <w:rPr>
          <w:sz w:val="20"/>
        </w:rPr>
        <w:t>Date:</w:t>
      </w:r>
    </w:p>
    <w:p>
      <w:pPr>
        <w:pStyle w:val="BodyTextIndent"/>
        <w:ind w:hanging="0" w:end="0"/>
        <w:rPr>
          <w:sz w:val="20"/>
        </w:rPr>
      </w:pPr>
      <w:r>
        <w:rPr>
          <w:sz w:val="20"/>
        </w:rPr>
      </w:r>
    </w:p>
    <w:p>
      <w:pPr>
        <w:pStyle w:val="BodyTextIndent"/>
        <w:ind w:hanging="0" w:end="0"/>
        <w:rPr>
          <w:sz w:val="20"/>
        </w:rPr>
      </w:pPr>
      <w:r>
        <w:rPr>
          <w:sz w:val="20"/>
        </w:rPr>
        <w:t>OPERATING UTILITY</w:t>
      </w:r>
    </w:p>
    <w:p>
      <w:pPr>
        <w:pStyle w:val="BodyTextIndent"/>
        <w:ind w:hanging="0" w:end="0"/>
        <w:rPr>
          <w:sz w:val="20"/>
        </w:rPr>
      </w:pPr>
      <w:r>
        <w:rPr>
          <w:sz w:val="20"/>
        </w:rPr>
      </w:r>
    </w:p>
    <w:p>
      <w:pPr>
        <w:pStyle w:val="BodyTextIndent"/>
        <w:ind w:hanging="0" w:end="0"/>
        <w:rPr>
          <w:sz w:val="20"/>
        </w:rPr>
      </w:pPr>
      <w:r>
        <w:rPr>
          <w:sz w:val="20"/>
        </w:rPr>
        <w:t>By:</w:t>
      </w:r>
    </w:p>
    <w:p>
      <w:pPr>
        <w:pStyle w:val="BodyTextIndent"/>
        <w:ind w:hanging="0" w:end="0"/>
        <w:rPr>
          <w:sz w:val="20"/>
        </w:rPr>
      </w:pPr>
      <w:r>
        <w:rPr>
          <w:sz w:val="20"/>
        </w:rPr>
        <w:t>Name:</w:t>
      </w:r>
    </w:p>
    <w:p>
      <w:pPr>
        <w:pStyle w:val="BodyTextIndent"/>
        <w:ind w:hanging="0" w:end="0"/>
        <w:rPr>
          <w:sz w:val="20"/>
        </w:rPr>
      </w:pPr>
      <w:r>
        <w:rPr>
          <w:sz w:val="20"/>
        </w:rPr>
        <w:t>Its:</w:t>
      </w:r>
    </w:p>
    <w:p>
      <w:pPr>
        <w:pStyle w:val="BodyTextIndent"/>
        <w:ind w:hanging="0" w:end="0"/>
        <w:rPr>
          <w:sz w:val="20"/>
        </w:rPr>
      </w:pPr>
      <w:r>
        <w:rPr>
          <w:sz w:val="20"/>
        </w:rPr>
        <w:t>Date:</w:t>
      </w:r>
    </w:p>
    <w:p>
      <w:pPr>
        <w:pStyle w:val="Normal"/>
        <w:jc w:val="both"/>
        <w:rPr>
          <w:sz w:val="20"/>
        </w:rPr>
      </w:pPr>
      <w:r>
        <w:rPr>
          <w:sz w:val="20"/>
        </w:rPr>
      </w:r>
    </w:p>
    <w:p>
      <w:pPr>
        <w:pStyle w:val="BodyText"/>
        <w:jc w:val="both"/>
        <w:rPr>
          <w:i/>
          <w:i/>
        </w:rPr>
      </w:pPr>
      <w:r>
        <w:rPr>
          <w:i/>
        </w:rPr>
        <w:t>and</w:t>
      </w:r>
    </w:p>
    <w:p>
      <w:pPr>
        <w:pStyle w:val="BodyText"/>
        <w:numPr>
          <w:ilvl w:val="0"/>
          <w:numId w:val="2"/>
        </w:numPr>
        <w:ind w:hanging="0" w:start="0" w:end="0"/>
        <w:jc w:val="both"/>
        <w:rPr/>
      </w:pPr>
      <w:r>
        <w:rPr/>
        <w:t xml:space="preserve">ADD THE FOLLOWING AS A LETTERED ITEM IN THE COVER SHEET’S “OTHER CHANGES” SECTION, UNDER “Part 1, General Terms And Conditions,”, RELETTERING THE REMAINING NUMBERED ITEMS </w:t>
      </w:r>
    </w:p>
    <w:p>
      <w:pPr>
        <w:pStyle w:val="BodyText"/>
        <w:jc w:val="both"/>
        <w:rPr/>
      </w:pPr>
      <w:r>
        <w:rPr/>
        <w:t xml:space="preserve">(e)  </w:t>
      </w:r>
      <w:r>
        <w:rPr>
          <w:b/>
        </w:rPr>
        <w:t>Subrogation Rights.</w:t>
      </w:r>
      <w:r>
        <w:rPr/>
        <w:t xml:space="preserve">   The following provision should be added as a new Section 5.8:</w:t>
      </w:r>
    </w:p>
    <w:p>
      <w:pPr>
        <w:pStyle w:val="Normal"/>
        <w:tabs>
          <w:tab w:val="clear" w:pos="720"/>
          <w:tab w:val="left" w:pos="0" w:leader="none"/>
          <w:tab w:val="left" w:pos="1440" w:leader="none"/>
        </w:tabs>
        <w:jc w:val="both"/>
        <w:rPr/>
      </w:pPr>
      <w:r>
        <w:rPr/>
        <w:t>5.8    “</w:t>
      </w:r>
      <w:r>
        <w:rPr>
          <w:u w:val="single"/>
        </w:rPr>
        <w:t>Subrogation</w:t>
      </w:r>
      <w:r>
        <w:rPr/>
        <w:t>.  In addition to all of the other remedies provided for herein, in the case of an Event of Default by Party B hereunder (a “Party B Event of Default”), Party A shall, without further notice, presentment, demand, or instrument, all of which are expressly waived, be and become immediately subrogated and succeed to any and all rights of Party B against any and all of the Operating Utilities with respect to this Agreement, including indemnification and any other rights against the Operating Utilities provided for under the Agency Agreement, and Party A shall thereupon be entitled to assert all such rights directly against the Operating Utilities for its own account.  Following a Party B Event of Default, Party B shall not independently assert any such rights under the Agreement against the Operating Utilities without the express prior written consent of Party A and shall cooperate fully with Party A in its exercise of said rights and remedies as granted and assigned to Party A in this Section 5.8, including, upon request of Party A; allowing Party A to bring an action against the Operating Utilities in Party B's name and with Party B's full cooperation therein, and (ii) executing instruments of assignment or other documents as Party A may reasonably request to give full force and effect to the rights and remedies provided in this Section 5.8.  The rights and remedies provided in this Section 5.8 are in addition to and cumulative of the other rights and remedies provided to Party A under the Agreement, and the exercise of one or more other such rights or remedies shall not prejudice or impair the concurrent or subsequent exercise of any other right or remedy.</w:t>
      </w:r>
    </w:p>
    <w:p>
      <w:pPr>
        <w:pStyle w:val="Normal"/>
        <w:jc w:val="both"/>
        <w:rPr/>
      </w:pPr>
      <w:r>
        <w:rPr/>
      </w:r>
    </w:p>
    <w:p>
      <w:pPr>
        <w:pStyle w:val="Normal"/>
        <w:spacing w:before="0" w:after="120"/>
        <w:jc w:val="both"/>
        <w:rPr/>
      </w:pPr>
      <w:r>
        <w:rPr/>
        <w:t>5</w:t>
      </w:r>
      <w:r>
        <w:rPr>
          <w:b/>
          <w:caps/>
        </w:rPr>
        <w:t xml:space="preserve">.           Rider </w:t>
      </w:r>
      <w:r>
        <w:rPr>
          <w:b/>
          <w:caps/>
          <w:u w:val="single"/>
        </w:rPr>
        <w:t>ENRON CROSSCOMMODITY gUARANTY</w:t>
      </w:r>
      <w:r>
        <w:rPr>
          <w:b/>
          <w:caps/>
        </w:rPr>
        <w:t xml:space="preserve">: </w:t>
      </w:r>
    </w:p>
    <w:p>
      <w:pPr>
        <w:pStyle w:val="Normal"/>
        <w:jc w:val="both"/>
        <w:rPr/>
      </w:pPr>
      <w:r>
        <w:rPr/>
        <w:t>If no guaranty will be received from Counterparty but an Enron Corp. guaranty is being offered to cover a greater dollar amount than the dollar amount the Credit group designates to be allocated to EPMI wholesale power transactions (such as in cross-commodity guarantees in which Enron Corp. guarantees obligations of multiple Enron subsidiaries):</w:t>
      </w:r>
    </w:p>
    <w:p>
      <w:pPr>
        <w:pStyle w:val="Normal"/>
        <w:jc w:val="both"/>
        <w:rPr/>
      </w:pPr>
      <w:r>
        <w:rPr/>
      </w:r>
    </w:p>
    <w:p>
      <w:pPr>
        <w:pStyle w:val="Normal"/>
        <w:numPr>
          <w:ilvl w:val="0"/>
          <w:numId w:val="5"/>
        </w:numPr>
        <w:jc w:val="both"/>
        <w:rPr/>
      </w:pPr>
      <w:r>
        <w:rPr/>
        <w:t>Approach Clement Abrams, Enron Corp. re having specific language added to such effect in the Enron Corp. guaranty.</w:t>
      </w:r>
    </w:p>
    <w:p>
      <w:pPr>
        <w:pStyle w:val="Normal"/>
        <w:tabs>
          <w:tab w:val="clear" w:pos="720"/>
          <w:tab w:val="left" w:pos="7455" w:leader="none"/>
        </w:tabs>
        <w:ind w:start="60" w:end="0"/>
        <w:jc w:val="both"/>
        <w:rPr/>
      </w:pPr>
      <w:r>
        <w:rPr/>
        <w:tab/>
      </w:r>
    </w:p>
    <w:p>
      <w:pPr>
        <w:pStyle w:val="Normal"/>
        <w:numPr>
          <w:ilvl w:val="0"/>
          <w:numId w:val="5"/>
        </w:numPr>
        <w:jc w:val="both"/>
        <w:rPr/>
      </w:pPr>
      <w:r>
        <w:rPr/>
        <w:t>(Presuming EPMI is Party A) ADD THE FOLLOWING AS A LETTERED ITEM IN THE COVER SHEET’S “OTHER CHANGES” SECTION, UNDER “Part 1, General Terms And Conditions”, RELETTERING THE REMAINING NUMBERED ITEMS:</w:t>
      </w:r>
    </w:p>
    <w:p>
      <w:pPr>
        <w:pStyle w:val="Heading2"/>
        <w:tabs>
          <w:tab w:val="clear" w:pos="720"/>
          <w:tab w:val="left" w:pos="360" w:leader="none"/>
        </w:tabs>
        <w:ind w:hanging="0" w:start="0"/>
        <w:rPr>
          <w:sz w:val="20"/>
        </w:rPr>
      </w:pPr>
      <w:r>
        <w:rPr>
          <w:sz w:val="20"/>
        </w:rPr>
      </w:r>
    </w:p>
    <w:p>
      <w:pPr>
        <w:pStyle w:val="Normal"/>
        <w:jc w:val="both"/>
        <w:rPr/>
      </w:pPr>
      <w:r>
        <w:rPr/>
        <w:t xml:space="preserve">(i)   </w:t>
      </w:r>
      <w:r>
        <w:rPr>
          <w:b/>
          <w:bCs/>
        </w:rPr>
        <w:t>Guarantee Amount.</w:t>
      </w:r>
      <w:r>
        <w:rPr/>
        <w:t xml:space="preserve">  The last sentence of Section 8.2 (e) is amended to add the following phrase at the end: ", provided that in no event shall the liability of Party A's Guarantor exceed the Party A Guaranty Amount."</w:t>
      </w:r>
    </w:p>
    <w:p>
      <w:pPr>
        <w:pStyle w:val="Normal"/>
        <w:jc w:val="both"/>
        <w:rPr/>
      </w:pPr>
      <w:r>
        <w:rPr/>
      </w:r>
    </w:p>
    <w:p>
      <w:pPr>
        <w:pStyle w:val="Normal"/>
        <w:spacing w:before="0" w:after="120"/>
        <w:jc w:val="both"/>
        <w:rPr/>
      </w:pPr>
      <w:r>
        <w:rPr/>
        <w:t>6</w:t>
      </w:r>
      <w:r>
        <w:rPr>
          <w:b/>
          <w:caps/>
        </w:rPr>
        <w:t xml:space="preserve">.           Rider </w:t>
      </w:r>
      <w:r>
        <w:rPr>
          <w:b/>
          <w:caps/>
          <w:u w:val="single"/>
        </w:rPr>
        <w:t>MARKET DISRUPTION FALLBACK REFERENCE PRICE PROVISION</w:t>
      </w:r>
      <w:r>
        <w:rPr>
          <w:b/>
          <w:caps/>
        </w:rPr>
        <w:t xml:space="preserve">: </w:t>
      </w:r>
    </w:p>
    <w:p>
      <w:pPr>
        <w:pStyle w:val="BodyText2"/>
        <w:rPr/>
      </w:pPr>
      <w:r>
        <w:rPr/>
        <w:t>If the Counterparty objects to Part I(m)(a) of our cover sheet whereby EPMI acts as the ultimate determination agent of a floating price, the following language may be supplied in lieu of the existing language:</w:t>
      </w:r>
    </w:p>
    <w:p>
      <w:pPr>
        <w:pStyle w:val="Normal"/>
        <w:autoSpaceDE w:val="false"/>
        <w:spacing w:lineRule="atLeast" w:line="240"/>
        <w:jc w:val="both"/>
        <w:rPr/>
      </w:pPr>
      <w:r>
        <w:rPr/>
      </w:r>
    </w:p>
    <w:p>
      <w:pPr>
        <w:pStyle w:val="Normal"/>
        <w:autoSpaceDE w:val="false"/>
        <w:spacing w:lineRule="atLeast" w:line="240"/>
        <w:ind w:start="720" w:end="720"/>
        <w:jc w:val="both"/>
        <w:rPr/>
      </w:pPr>
      <w:r>
        <w:rPr>
          <w:b/>
          <w:bCs/>
        </w:rPr>
        <w:t>"Market Disruption</w:t>
      </w:r>
      <w:r>
        <w:rPr/>
        <w:t xml:space="preserve">.  If a Market Disruption Event has occurred and is continuing during the Determination Period, the Floating Price for the affected Trading Day shall be determined pursuant to the index specified in the Transaction for the first Trading Day thereafter on which no Market Disruption Event exists; </w:t>
      </w:r>
      <w:r>
        <w:rPr>
          <w:u w:val="single"/>
        </w:rPr>
        <w:t>provided</w:t>
      </w:r>
      <w:r>
        <w:rPr/>
        <w:t xml:space="preserve">, </w:t>
      </w:r>
      <w:r>
        <w:rPr>
          <w:u w:val="single"/>
        </w:rPr>
        <w:t>however</w:t>
      </w:r>
      <w:r>
        <w:rPr/>
        <w:t>, if the Floating Price is not so determined within three (3) Business Days after the first Trading Day on which the Market Disruption Event occurred or existed,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with each party obtaining in good faith a quote from a leading dealer in the relevant market and averaging the two quotes."</w:t>
      </w:r>
    </w:p>
    <w:p>
      <w:pPr>
        <w:pStyle w:val="Normal"/>
        <w:autoSpaceDE w:val="false"/>
        <w:spacing w:lineRule="atLeast" w:line="240"/>
        <w:jc w:val="both"/>
        <w:rPr/>
      </w:pPr>
      <w:r>
        <w:rPr/>
      </w:r>
    </w:p>
    <w:p>
      <w:pPr>
        <w:pStyle w:val="Normal"/>
        <w:autoSpaceDE w:val="false"/>
        <w:spacing w:lineRule="atLeast" w:line="240"/>
        <w:jc w:val="both"/>
        <w:rPr/>
      </w:pPr>
      <w:r>
        <w:rPr/>
        <w:t>If the Counterparty objects to our definition of "Market Disruption Event" whereby EPMI acts as the ultimate determination agent of whether a MDE exists, the following highlighted language may be supplied in lieu of the existing language:</w:t>
      </w:r>
    </w:p>
    <w:p>
      <w:pPr>
        <w:pStyle w:val="Normal"/>
        <w:keepLines/>
        <w:autoSpaceDE w:val="false"/>
        <w:spacing w:lineRule="atLeast" w:line="240"/>
        <w:jc w:val="both"/>
        <w:rPr/>
      </w:pPr>
      <w:r>
        <w:rPr/>
      </w:r>
    </w:p>
    <w:p>
      <w:pPr>
        <w:pStyle w:val="Normal"/>
        <w:autoSpaceDE w:val="false"/>
        <w:spacing w:lineRule="atLeast" w:line="240"/>
        <w:ind w:start="720" w:end="810"/>
        <w:jc w:val="both"/>
        <w:rPr/>
      </w:pPr>
      <w:r>
        <w:rPr/>
        <w:t>"</w:t>
      </w:r>
      <w:r>
        <w:rPr>
          <w:u w:val="single"/>
        </w:rPr>
        <w:t>Market Disruption Event</w:t>
      </w:r>
      <w:r>
        <w:rPr/>
        <w:t>" means, with respect to an index, any of the following events (the existence of which shall be determined in good faith by the Parties):  (a) the failure of the index to announce or publish information necessary for determining the Floating Price; (b) the failure of trading to commence or the permanent discontinuation or material suspension of trading in the relevant options contract or commodity on the exchange or market acting as the index; (c) the temporary or permanent discontinuance or unavailability of the index; (d) the temporary or permanent closing of any exchange acting as the index; or  (e) a material change in the formula for or the method of determining the Floating Price.</w:t>
      </w:r>
    </w:p>
    <w:p>
      <w:pPr>
        <w:pStyle w:val="Normal"/>
        <w:autoSpaceDE w:val="false"/>
        <w:spacing w:lineRule="atLeast" w:line="240"/>
        <w:ind w:start="720" w:end="810"/>
        <w:jc w:val="both"/>
        <w:rPr/>
      </w:pPr>
      <w:r>
        <w:rPr/>
      </w:r>
    </w:p>
    <w:p>
      <w:pPr>
        <w:pStyle w:val="Normal"/>
        <w:autoSpaceDE w:val="false"/>
        <w:spacing w:lineRule="atLeast" w:line="240"/>
        <w:jc w:val="both"/>
        <w:rPr>
          <w:b/>
          <w:bCs/>
          <w:u w:val="single"/>
        </w:rPr>
      </w:pPr>
      <w:r>
        <w:rPr>
          <w:b/>
          <w:bCs/>
          <w:u w:val="single"/>
        </w:rPr>
        <w:t>RIDER  AMENDMENT TO DEFINITION OF "CREDIT RATING"</w:t>
      </w:r>
    </w:p>
    <w:p>
      <w:pPr>
        <w:pStyle w:val="Normal"/>
        <w:autoSpaceDE w:val="false"/>
        <w:spacing w:lineRule="atLeast" w:line="240"/>
        <w:jc w:val="both"/>
        <w:rPr>
          <w:b/>
          <w:bCs/>
          <w:u w:val="single"/>
        </w:rPr>
      </w:pPr>
      <w:r>
        <w:rPr>
          <w:b/>
          <w:bCs/>
          <w:u w:val="single"/>
        </w:rPr>
      </w:r>
    </w:p>
    <w:p>
      <w:pPr>
        <w:pStyle w:val="Normal"/>
        <w:autoSpaceDE w:val="false"/>
        <w:spacing w:lineRule="atLeast" w:line="240"/>
        <w:jc w:val="both"/>
        <w:rPr/>
      </w:pPr>
      <w:r>
        <w:rPr/>
        <w:t xml:space="preserve">With respect to Party B, Section 1.12 is amended as follows: </w:t>
      </w:r>
    </w:p>
    <w:p>
      <w:pPr>
        <w:pStyle w:val="Normal"/>
        <w:autoSpaceDE w:val="false"/>
        <w:spacing w:lineRule="atLeast" w:line="240"/>
        <w:jc w:val="both"/>
        <w:rPr/>
      </w:pPr>
      <w:r>
        <w:rPr/>
      </w:r>
    </w:p>
    <w:p>
      <w:pPr>
        <w:pStyle w:val="Normal"/>
        <w:autoSpaceDE w:val="false"/>
        <w:spacing w:lineRule="atLeast" w:line="240"/>
        <w:jc w:val="both"/>
        <w:rPr/>
      </w:pPr>
      <w:r>
        <w:rPr/>
        <w:t>"Credit Rating" means, with respect to Party B, the underlying rating then assigned to Party B's ___________ [(not supported by third party credit enhancements)] or if Party B ceases to be rated, then the rating then assigned to Party B as an issues rating by S&amp;P, Moody’s or any other rating agency agreed by the Parties as set forth in the Cover Sheet</w:t>
      </w:r>
      <w:r>
        <w:rPr>
          <w:sz w:val="24"/>
          <w:szCs w:val="24"/>
        </w:rPr>
        <w:t>.</w:t>
      </w:r>
      <w:r>
        <w:rPr/>
        <w:t xml:space="preserve"> </w:t>
      </w:r>
    </w:p>
    <w:p>
      <w:pPr>
        <w:pStyle w:val="Normal"/>
        <w:jc w:val="both"/>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/mnt/main-storage/datasets/enron-docs/doc/EEI_MASTER_Riders.doc</w:t>
    </w:r>
    <w:r>
      <w:rPr>
        <w:sz w:val="12"/>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72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3">
    <w:lvl w:ilvl="0">
      <w:start w:val="1"/>
      <w:numFmt w:val="decimal"/>
      <w:lvlText w:val="(%1)"/>
      <w:lvlJc w:val="start"/>
      <w:pPr>
        <w:tabs>
          <w:tab w:val="num" w:pos="360"/>
        </w:tabs>
        <w:ind w:start="360" w:hanging="360"/>
      </w:pPr>
      <w:rPr/>
    </w:lvl>
  </w:abstractNum>
  <w:abstractNum w:abstractNumId="4">
    <w:lvl w:ilvl="0">
      <w:start w:val="2"/>
      <w:numFmt w:val="decimal"/>
      <w:lvlText w:val="(%1)"/>
      <w:lvlJc w:val="start"/>
      <w:pPr>
        <w:tabs>
          <w:tab w:val="num" w:pos="360"/>
        </w:tabs>
        <w:ind w:start="360" w:hanging="360"/>
      </w:pPr>
      <w:rPr/>
    </w:lvl>
  </w:abstractNum>
  <w:abstractNum w:abstractNumId="5">
    <w:lvl w:ilvl="0">
      <w:start w:val="1"/>
      <w:numFmt w:val="decimal"/>
      <w:lvlText w:val="%1."/>
      <w:lvlJc w:val="start"/>
      <w:pPr>
        <w:tabs>
          <w:tab w:val="num" w:pos="420"/>
        </w:tabs>
        <w:ind w:start="420" w:hanging="360"/>
      </w:pPr>
      <w:rPr/>
    </w:lvl>
  </w:abstractNum>
  <w:abstractNum w:abstractNumId="6">
    <w:lvl w:ilvl="0">
      <w:start w:val="2"/>
      <w:numFmt w:val="lowerLetter"/>
      <w:lvlText w:val="(%1)"/>
      <w:lvlJc w:val="start"/>
      <w:pPr>
        <w:tabs>
          <w:tab w:val="num" w:pos="360"/>
        </w:tabs>
        <w:ind w:start="360" w:hanging="360"/>
      </w:pPr>
      <w:rPr>
        <w:sz w:val="20"/>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BodyText"/>
    <w:qFormat/>
    <w:pPr>
      <w:keepNext w:val="true"/>
      <w:numPr>
        <w:ilvl w:val="0"/>
        <w:numId w:val="1"/>
      </w:numPr>
      <w:spacing w:before="0" w:after="240"/>
      <w:jc w:val="center"/>
      <w:outlineLvl w:val="0"/>
    </w:pPr>
    <w:rPr>
      <w:b/>
      <w:kern w:val="2"/>
      <w:sz w:val="24"/>
    </w:rPr>
  </w:style>
  <w:style w:type="paragraph" w:styleId="Heading2">
    <w:name w:val="heading 2"/>
    <w:basedOn w:val="Normal"/>
    <w:next w:val="BodyText"/>
    <w:qFormat/>
    <w:pPr>
      <w:numPr>
        <w:ilvl w:val="1"/>
        <w:numId w:val="1"/>
      </w:numPr>
      <w:spacing w:before="0" w:after="120"/>
      <w:jc w:val="both"/>
      <w:outlineLvl w:val="1"/>
    </w:pPr>
    <w:rPr>
      <w:sz w:val="22"/>
    </w:rPr>
  </w:style>
  <w:style w:type="paragraph" w:styleId="Heading3">
    <w:name w:val="heading 3"/>
    <w:basedOn w:val="Normal"/>
    <w:next w:val="BodyText"/>
    <w:qFormat/>
    <w:pPr>
      <w:numPr>
        <w:ilvl w:val="2"/>
        <w:numId w:val="1"/>
      </w:numPr>
      <w:spacing w:before="0" w:after="240"/>
      <w:jc w:val="both"/>
      <w:outlineLvl w:val="2"/>
    </w:pPr>
    <w:rPr>
      <w:sz w:val="24"/>
    </w:rPr>
  </w:style>
  <w:style w:type="paragraph" w:styleId="Heading4">
    <w:name w:val="heading 4"/>
    <w:basedOn w:val="Normal"/>
    <w:next w:val="BodyText"/>
    <w:qFormat/>
    <w:pPr>
      <w:numPr>
        <w:ilvl w:val="3"/>
        <w:numId w:val="1"/>
      </w:numPr>
      <w:spacing w:before="0" w:after="240"/>
      <w:jc w:val="both"/>
      <w:outlineLvl w:val="3"/>
    </w:pPr>
    <w:rPr>
      <w:sz w:val="24"/>
    </w:rPr>
  </w:style>
  <w:style w:type="paragraph" w:styleId="Heading5">
    <w:name w:val="heading 5"/>
    <w:basedOn w:val="Normal"/>
    <w:next w:val="BodyText"/>
    <w:qFormat/>
    <w:pPr>
      <w:numPr>
        <w:ilvl w:val="4"/>
        <w:numId w:val="1"/>
      </w:numPr>
      <w:spacing w:before="0" w:after="240"/>
      <w:jc w:val="both"/>
      <w:outlineLvl w:val="4"/>
    </w:pPr>
    <w:rPr>
      <w:sz w:val="24"/>
    </w:rPr>
  </w:style>
  <w:style w:type="paragraph" w:styleId="Heading6">
    <w:name w:val="heading 6"/>
    <w:basedOn w:val="Normal"/>
    <w:next w:val="BodyText"/>
    <w:qFormat/>
    <w:pPr>
      <w:numPr>
        <w:ilvl w:val="5"/>
        <w:numId w:val="1"/>
      </w:numPr>
      <w:spacing w:before="0" w:after="120"/>
      <w:ind w:hanging="0" w:start="720" w:end="0"/>
      <w:jc w:val="both"/>
      <w:outlineLvl w:val="5"/>
    </w:pPr>
    <w:rPr>
      <w:sz w:val="22"/>
    </w:rPr>
  </w:style>
  <w:style w:type="paragraph" w:styleId="Heading7">
    <w:name w:val="heading 7"/>
    <w:basedOn w:val="Normal"/>
    <w:next w:val="BodyText"/>
    <w:qFormat/>
    <w:pPr>
      <w:numPr>
        <w:ilvl w:val="6"/>
        <w:numId w:val="1"/>
      </w:numPr>
      <w:spacing w:before="0" w:after="200"/>
      <w:outlineLvl w:val="6"/>
    </w:pPr>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rFonts w:ascii="Times New Roman" w:hAnsi="Times New Roman" w:cs="Times New Roman"/>
      <w:b/>
      <w:i w:val="false"/>
      <w:caps/>
      <w:sz w:val="24"/>
    </w:rPr>
  </w:style>
  <w:style w:type="character" w:styleId="WW8Num8z1">
    <w:name w:val="WW8Num8z1"/>
    <w:qFormat/>
    <w:rPr>
      <w:rFonts w:ascii="Times New Roman" w:hAnsi="Times New Roman" w:cs="Times New Roman"/>
      <w:b w:val="false"/>
      <w:i w:val="false"/>
      <w:sz w:val="24"/>
      <w:u w:val="none"/>
    </w:rPr>
  </w:style>
  <w:style w:type="character" w:styleId="WW8Num8z2">
    <w:name w:val="WW8Num8z2"/>
    <w:qFormat/>
    <w:rPr>
      <w:rFonts w:ascii="Times New Roman" w:hAnsi="Times New Roman" w:cs="Times New Roman"/>
      <w:b w:val="false"/>
      <w:i w:val="false"/>
      <w:sz w:val="24"/>
    </w:rPr>
  </w:style>
  <w:style w:type="character" w:styleId="WW8Num8z5">
    <w:name w:val="WW8Num8z5"/>
    <w:qFormat/>
    <w:rPr>
      <w:rFonts w:ascii="Times New Roman" w:hAnsi="Times New Roman" w:cs="Times New Roman"/>
      <w:b/>
      <w:i w:val="false"/>
      <w:sz w:val="24"/>
      <w:u w:val="none"/>
    </w:rPr>
  </w:style>
  <w:style w:type="character" w:styleId="WW8Num9z0">
    <w:name w:val="WW8Num9z0"/>
    <w:qFormat/>
    <w:rPr>
      <w:sz w:val="2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jc w:val="both"/>
    </w:pPr>
    <w:rPr>
      <w:sz w:val="24"/>
    </w:rPr>
  </w:style>
  <w:style w:type="paragraph" w:styleId="BodyTextIndent2">
    <w:name w:val="Body Text Indent 2"/>
    <w:basedOn w:val="Normal"/>
    <w:qFormat/>
    <w:pPr>
      <w:keepLines/>
      <w:autoSpaceDE w:val="false"/>
      <w:spacing w:lineRule="atLeast" w:line="240" w:before="0" w:after="120"/>
      <w:ind w:hanging="0" w:start="360" w:end="0"/>
    </w:pPr>
    <w:rPr>
      <w:color w:val="000000"/>
    </w:rPr>
  </w:style>
  <w:style w:type="paragraph" w:styleId="BodyTextIndent3">
    <w:name w:val="Body Text Indent 3"/>
    <w:basedOn w:val="Normal"/>
    <w:qFormat/>
    <w:pPr>
      <w:keepLines/>
      <w:autoSpaceDE w:val="false"/>
      <w:spacing w:lineRule="atLeast" w:line="240" w:before="0" w:after="120"/>
      <w:ind w:hanging="0" w:start="360" w:end="0"/>
      <w:jc w:val="both"/>
    </w:pPr>
    <w:rPr/>
  </w:style>
  <w:style w:type="paragraph" w:styleId="BodyText2">
    <w:name w:val="Body Text 2"/>
    <w:basedOn w:val="Normal"/>
    <w:qFormat/>
    <w:pPr>
      <w:autoSpaceDE w:val="false"/>
      <w:spacing w:lineRule="atLeast" w:line="24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2000-06-20T13:57:00Z</dcterms:created>
  <dc:creator>dportz</dc:creator>
  <dc:description/>
  <dc:language>en-CA</dc:language>
  <cp:lastModifiedBy>bwhiteh</cp:lastModifiedBy>
  <cp:lastPrinted>2000-06-13T14:25:00Z</cp:lastPrinted>
  <dcterms:modified xsi:type="dcterms:W3CDTF">2000-10-12T18:44:00Z</dcterms:modified>
  <cp:revision>9</cp:revision>
  <dc:subject/>
  <dc:title>RIDERS</dc:title>
</cp:coreProperties>
</file>