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rPr>
          <w:rFonts w:ascii="Arial Narrow" w:hAnsi="Arial Narrow" w:cs="Arial Narrow"/>
          <w:b/>
          <w:sz w:val="18"/>
        </w:rPr>
      </w:pPr>
      <w:r>
        <w:rPr>
          <w:rFonts w:cs="Arial Narrow" w:ascii="Arial Narrow" w:hAnsi="Arial Narrow"/>
          <w:b/>
          <w:sz w:val="18"/>
        </w:rPr>
        <w:t>DRAFT 5/10/01   [Two Way, Cash and Letters of Credit Form</w:t>
      </w:r>
    </w:p>
    <w:p>
      <w:pPr>
        <w:pStyle w:val="Normal"/>
        <w:keepNext w:val="true"/>
        <w:rPr>
          <w:rFonts w:ascii="Arial Narrow" w:hAnsi="Arial Narrow" w:cs="Arial Narrow"/>
          <w:b/>
          <w:sz w:val="18"/>
        </w:rPr>
      </w:pPr>
      <w:r>
        <w:rPr>
          <w:rFonts w:cs="Arial Narrow" w:ascii="Arial Narrow" w:hAnsi="Arial Narrow"/>
          <w:b/>
          <w:sz w:val="18"/>
        </w:rPr>
        <w:t>for use with EEI Masters]</w:t>
      </w:r>
    </w:p>
    <w:p>
      <w:pPr>
        <w:pStyle w:val="Normal"/>
        <w:keepNext w:val="true"/>
        <w:jc w:val="center"/>
        <w:rPr>
          <w:rFonts w:ascii="Arial Narrow" w:hAnsi="Arial Narrow" w:cs="Arial Narrow"/>
          <w:b/>
          <w:sz w:val="18"/>
        </w:rPr>
      </w:pPr>
      <w:r>
        <w:rPr>
          <w:rFonts w:cs="Arial Narrow" w:ascii="Arial Narrow" w:hAnsi="Arial Narrow"/>
          <w:b/>
          <w:sz w:val="18"/>
        </w:rPr>
      </w:r>
    </w:p>
    <w:p>
      <w:pPr>
        <w:pStyle w:val="Normal"/>
        <w:keepNext w:val="true"/>
        <w:jc w:val="center"/>
        <w:rPr>
          <w:rFonts w:ascii="Arial Narrow" w:hAnsi="Arial Narrow" w:cs="Arial Narrow"/>
          <w:b/>
          <w:sz w:val="18"/>
        </w:rPr>
      </w:pPr>
      <w:r>
        <w:rPr>
          <w:rFonts w:cs="Arial Narrow" w:ascii="Arial Narrow" w:hAnsi="Arial Narrow"/>
          <w:b/>
          <w:sz w:val="18"/>
        </w:rPr>
        <w:t>ANNEX A</w:t>
        <w:br/>
      </w:r>
      <w:r>
        <w:rPr>
          <w:rFonts w:cs="Arial Narrow" w:ascii="Arial Narrow" w:hAnsi="Arial Narrow"/>
          <w:b/>
          <w:sz w:val="18"/>
          <w:u w:val="single"/>
        </w:rPr>
        <w:t>CREDIT SUPPORT ANNEX</w:t>
      </w:r>
    </w:p>
    <w:p>
      <w:pPr>
        <w:pStyle w:val="BodyTextIndent3"/>
        <w:rPr/>
      </w:pPr>
      <w:r>
        <w:rPr/>
        <w:t>This Credit Support Annex supplements, forms part of, and is incorporated into the Agreement (as defined in that certain Master Agreement dated ____________, between ________ ("Counterparty") and Enron Power Marketing, Inc. (“EPMI”).  Capitalized terms used in this Annex but not defined herein shall have the meanings given such terms in the Master Agreement.</w:t>
      </w:r>
    </w:p>
    <w:p>
      <w:pPr>
        <w:pStyle w:val="Normal"/>
        <w:keepNext w:val="true"/>
        <w:spacing w:before="240" w:after="0"/>
        <w:ind w:hanging="720" w:start="720" w:end="1440"/>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Annex:</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Collateral Account</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Credit Rating Event</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Custodian</w:t>
      </w:r>
      <w:r>
        <w:rPr>
          <w:rFonts w:cs="Arial Narrow" w:ascii="Arial Narrow" w:hAnsi="Arial Narrow"/>
          <w:sz w:val="18"/>
        </w:rPr>
        <w:t>” shall have the meaning attributed to it in Section VII(a).</w:t>
      </w:r>
    </w:p>
    <w:p>
      <w:pPr>
        <w:pStyle w:val="BodyTextIndent2"/>
        <w:spacing w:before="0" w:after="0"/>
        <w:ind w:firstLine="360" w:start="0" w:end="0"/>
        <w:rPr>
          <w:rFonts w:ascii="Arial Narrow" w:hAnsi="Arial Narrow" w:cs="Arial Narrow"/>
          <w:sz w:val="18"/>
        </w:rPr>
      </w:pPr>
      <w:r>
        <w:rPr>
          <w:rFonts w:cs="Arial Narrow"/>
          <w:sz w:val="18"/>
        </w:rPr>
      </w:r>
    </w:p>
    <w:p>
      <w:pPr>
        <w:pStyle w:val="BodyTextIndent2"/>
        <w:spacing w:before="0" w:after="0"/>
        <w:ind w:firstLine="360" w:start="0" w:end="0"/>
        <w:rPr/>
      </w:pPr>
      <w:r>
        <w:rPr/>
        <w:t>"</w:t>
      </w:r>
      <w:r>
        <w:rPr>
          <w:u w:val="single"/>
        </w:rPr>
        <w:t>Downgraded Party</w:t>
      </w:r>
      <w:r>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 the following items will qualify as "Eligible Collateral" for the party specified:</w:t>
      </w:r>
    </w:p>
    <w:p>
      <w:pPr>
        <w:pStyle w:val="Normal"/>
        <w:spacing w:before="240" w:after="0"/>
        <w:ind w:firstLine="360" w:end="0"/>
        <w:jc w:val="both"/>
        <w:rPr>
          <w:rFonts w:ascii="Arial Narrow" w:hAnsi="Arial Narrow" w:cs="Arial Narrow"/>
          <w:sz w:val="18"/>
        </w:rPr>
      </w:pPr>
      <w:r>
        <w:rPr>
          <w:rFonts w:cs="Arial Narrow" w:ascii="Arial Narrow" w:hAnsi="Arial Narrow"/>
          <w:sz w:val="18"/>
        </w:rPr>
      </w:r>
    </w:p>
    <w:tbl>
      <w:tblPr>
        <w:tblW w:w="4878" w:type="dxa"/>
        <w:jc w:val="start"/>
        <w:tblInd w:w="0" w:type="dxa"/>
        <w:tblLayout w:type="fixed"/>
        <w:tblCellMar>
          <w:top w:w="0" w:type="dxa"/>
          <w:start w:w="108" w:type="dxa"/>
          <w:bottom w:w="0" w:type="dxa"/>
          <w:end w:w="108" w:type="dxa"/>
        </w:tblCellMar>
      </w:tblPr>
      <w:tblGrid>
        <w:gridCol w:w="468"/>
        <w:gridCol w:w="810"/>
        <w:gridCol w:w="540"/>
        <w:gridCol w:w="1170"/>
        <w:gridCol w:w="1890"/>
      </w:tblGrid>
      <w:tr>
        <w:trPr/>
        <w:tc>
          <w:tcPr>
            <w:tcW w:w="468"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810"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540" w:type="dxa"/>
            <w:tcBorders/>
          </w:tcPr>
          <w:p>
            <w:pPr>
              <w:pStyle w:val="Normal"/>
              <w:spacing w:before="240" w:after="0"/>
              <w:jc w:val="both"/>
              <w:rPr>
                <w:rFonts w:ascii="Arial Narrow" w:hAnsi="Arial Narrow" w:cs="Arial Narrow"/>
                <w:b/>
                <w:sz w:val="18"/>
              </w:rPr>
            </w:pPr>
            <w:r>
              <w:rPr>
                <w:rFonts w:cs="Arial Narrow" w:ascii="Arial Narrow" w:hAnsi="Arial Narrow"/>
                <w:b/>
                <w:sz w:val="18"/>
              </w:rPr>
              <w:t>ENA</w:t>
            </w:r>
          </w:p>
        </w:tc>
        <w:tc>
          <w:tcPr>
            <w:tcW w:w="1170" w:type="dxa"/>
            <w:tcBorders/>
          </w:tcPr>
          <w:p>
            <w:pPr>
              <w:pStyle w:val="Normal"/>
              <w:spacing w:before="240" w:after="0"/>
              <w:jc w:val="both"/>
              <w:rPr>
                <w:rFonts w:ascii="Arial Narrow" w:hAnsi="Arial Narrow" w:cs="Arial Narrow"/>
                <w:b/>
                <w:sz w:val="18"/>
              </w:rPr>
            </w:pPr>
            <w:r>
              <w:rPr>
                <w:rFonts w:cs="Arial Narrow" w:ascii="Arial Narrow" w:hAnsi="Arial Narrow"/>
                <w:b/>
                <w:sz w:val="18"/>
              </w:rPr>
              <w:t>Counterparty</w:t>
            </w:r>
          </w:p>
        </w:tc>
        <w:tc>
          <w:tcPr>
            <w:tcW w:w="1890" w:type="dxa"/>
            <w:tcBorders/>
          </w:tcPr>
          <w:p>
            <w:pPr>
              <w:pStyle w:val="Heading3"/>
              <w:rPr>
                <w:rFonts w:ascii="Arial Narrow" w:hAnsi="Arial Narrow" w:cs="Arial Narrow"/>
                <w:sz w:val="18"/>
              </w:rPr>
            </w:pPr>
            <w:r>
              <w:rPr>
                <w:rFonts w:cs="Arial Narrow" w:ascii="Arial Narrow" w:hAnsi="Arial Narrow"/>
                <w:sz w:val="18"/>
              </w:rPr>
              <w:t>Valuation Percentage</w:t>
            </w:r>
          </w:p>
        </w:tc>
      </w:tr>
      <w:tr>
        <w:trPr/>
        <w:tc>
          <w:tcPr>
            <w:tcW w:w="468" w:type="dxa"/>
            <w:tcBorders/>
          </w:tcPr>
          <w:p>
            <w:pPr>
              <w:pStyle w:val="Normal"/>
              <w:spacing w:before="240" w:after="0"/>
              <w:jc w:val="both"/>
              <w:rPr>
                <w:rFonts w:ascii="Arial Narrow" w:hAnsi="Arial Narrow" w:cs="Arial Narrow"/>
                <w:sz w:val="18"/>
              </w:rPr>
            </w:pPr>
            <w:r>
              <w:rPr>
                <w:rFonts w:cs="Arial Narrow" w:ascii="Arial Narrow" w:hAnsi="Arial Narrow"/>
                <w:sz w:val="18"/>
              </w:rPr>
              <w:t>(A)</w:t>
            </w:r>
          </w:p>
        </w:tc>
        <w:tc>
          <w:tcPr>
            <w:tcW w:w="810" w:type="dxa"/>
            <w:tcBorders/>
          </w:tcPr>
          <w:p>
            <w:pPr>
              <w:pStyle w:val="Normal"/>
              <w:spacing w:before="240" w:after="0"/>
              <w:jc w:val="both"/>
              <w:rPr>
                <w:rFonts w:ascii="Arial Narrow" w:hAnsi="Arial Narrow" w:cs="Arial Narrow"/>
                <w:sz w:val="18"/>
              </w:rPr>
            </w:pPr>
            <w:r>
              <w:rPr>
                <w:rFonts w:cs="Arial Narrow" w:ascii="Arial Narrow" w:hAnsi="Arial Narrow"/>
                <w:sz w:val="18"/>
              </w:rPr>
              <w:t>Cash</w:t>
            </w:r>
          </w:p>
        </w:tc>
        <w:tc>
          <w:tcPr>
            <w:tcW w:w="54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spacing w:before="240" w:after="0"/>
              <w:jc w:val="both"/>
              <w:rPr>
                <w:rFonts w:ascii="Arial Narrow" w:hAnsi="Arial Narrow" w:cs="Arial Narrow"/>
                <w:sz w:val="18"/>
              </w:rPr>
            </w:pPr>
            <w:r>
              <w:rPr>
                <w:rFonts w:cs="Arial Narrow" w:ascii="Arial Narrow" w:hAnsi="Arial Narrow"/>
                <w:sz w:val="18"/>
              </w:rPr>
              <w:t>100%</w:t>
            </w:r>
          </w:p>
        </w:tc>
      </w:tr>
      <w:tr>
        <w:trPr/>
        <w:tc>
          <w:tcPr>
            <w:tcW w:w="468" w:type="dxa"/>
            <w:tcBorders/>
          </w:tcPr>
          <w:p>
            <w:pPr>
              <w:pStyle w:val="Normal"/>
              <w:spacing w:before="240" w:after="0"/>
              <w:jc w:val="both"/>
              <w:rPr>
                <w:rFonts w:ascii="Arial Narrow" w:hAnsi="Arial Narrow" w:cs="Arial Narrow"/>
                <w:sz w:val="18"/>
              </w:rPr>
            </w:pPr>
            <w:r>
              <w:rPr>
                <w:rFonts w:cs="Arial Narrow" w:ascii="Arial Narrow" w:hAnsi="Arial Narrow"/>
                <w:sz w:val="18"/>
              </w:rPr>
              <w:t>(B)</w:t>
            </w:r>
          </w:p>
        </w:tc>
        <w:tc>
          <w:tcPr>
            <w:tcW w:w="810" w:type="dxa"/>
            <w:tcBorders/>
          </w:tcPr>
          <w:p>
            <w:pPr>
              <w:pStyle w:val="Normal"/>
              <w:spacing w:before="240" w:after="0"/>
              <w:jc w:val="both"/>
              <w:rPr>
                <w:rFonts w:ascii="Arial Narrow" w:hAnsi="Arial Narrow" w:cs="Arial Narrow"/>
                <w:sz w:val="18"/>
              </w:rPr>
            </w:pPr>
            <w:r>
              <w:rPr>
                <w:rFonts w:cs="Arial Narrow" w:ascii="Arial Narrow" w:hAnsi="Arial Narrow"/>
                <w:sz w:val="18"/>
              </w:rPr>
              <w:t>Letters of Credit</w:t>
            </w:r>
          </w:p>
        </w:tc>
        <w:tc>
          <w:tcPr>
            <w:tcW w:w="54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spacing w:before="240" w:after="0"/>
              <w:jc w:val="both"/>
              <w:rPr>
                <w:rFonts w:ascii="Arial Narrow" w:hAnsi="Arial Narrow" w:cs="Arial Narrow"/>
                <w:sz w:val="18"/>
              </w:rPr>
            </w:pPr>
            <w:r>
              <w:rPr>
                <w:rFonts w:cs="Arial Narrow" w:ascii="Arial Narrow" w:hAnsi="Arial Narrow"/>
                <w:sz w:val="18"/>
              </w:rPr>
              <w:t xml:space="preserve">100% </w:t>
            </w:r>
            <w:r>
              <w:rPr>
                <w:rFonts w:cs="Arial Narrow" w:ascii="Arial Narrow" w:hAnsi="Arial Narrow"/>
                <w:color w:val="FF0000"/>
                <w:sz w:val="18"/>
              </w:rPr>
              <w:t>[</w:t>
            </w:r>
            <w:r>
              <w:rPr>
                <w:rFonts w:cs="Arial Narrow" w:ascii="Arial Narrow" w:hAnsi="Arial Narrow"/>
                <w:sz w:val="18"/>
              </w:rPr>
              <w:t>unless either (i) a Letter of Credit Default shall apply with respect to such Letter of Credit, or (ii) twenty (20) or fewer Business Days remain prior to the expiration of such Letter of Credit, in which case the Valuation Percentage shall be 0.]</w:t>
            </w:r>
            <w:r>
              <w:rPr>
                <w:rStyle w:val="FootnoteCharacters"/>
                <w:rStyle w:val="FootnoteReference"/>
              </w:rPr>
              <w:footnoteReference w:id="2"/>
            </w:r>
            <w:r>
              <w:rPr>
                <w:rFonts w:cs="Arial Narrow" w:ascii="Arial Narrow" w:hAnsi="Arial Narrow"/>
                <w:color w:val="FF0000"/>
                <w:sz w:val="18"/>
              </w:rPr>
              <w:t xml:space="preserve"> </w:t>
            </w:r>
          </w:p>
        </w:tc>
      </w:tr>
    </w:tbl>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shall have the meaning attributed to it in Section II(a).</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Federal Funds Effective Rate</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Amount</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Period</w:t>
      </w:r>
      <w:r>
        <w:rPr>
          <w:rFonts w:cs="Arial Narrow" w:ascii="Arial Narrow" w:hAnsi="Arial Narrow"/>
          <w:sz w:val="18"/>
        </w:rPr>
        <w:t>" shall have the meaning attributed to it in Section VII(c).</w:t>
      </w:r>
    </w:p>
    <w:p>
      <w:pPr>
        <w:pStyle w:val="Normal"/>
        <w:ind w:firstLine="360" w:end="0"/>
        <w:jc w:val="both"/>
        <w:rPr>
          <w:rFonts w:ascii="Arial Narrow" w:hAnsi="Arial Narrow" w:cs="Arial Narrow"/>
          <w:sz w:val="18"/>
        </w:rPr>
      </w:pPr>
      <w:r>
        <w:rPr>
          <w:rFonts w:eastAsia="Arial Narrow" w:cs="Arial Narrow" w:ascii="Arial Narrow" w:hAnsi="Arial Narrow"/>
          <w:color w:val="FF0000"/>
          <w:sz w:val="18"/>
        </w:rPr>
        <w:t xml:space="preserve"> </w:t>
      </w: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5.1(d) of the Master Agreement shall occur with respect to the issuer of such Letter of Credit;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r>
        <w:rPr>
          <w:rFonts w:cs="Arial Narrow" w:ascii="Arial Narrow" w:hAnsi="Arial Narrow"/>
          <w:color w:val="FF0000"/>
          <w:sz w:val="18"/>
        </w:rPr>
        <w:t xml:space="preserve"> </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shall mean the party to which a request is made to reduce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Qualified Institution</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Reference Market-Makers</w:t>
      </w:r>
      <w:r>
        <w:rPr>
          <w:rFonts w:cs="Arial Narrow" w:ascii="Arial Narrow" w:hAnsi="Arial Narrow"/>
          <w:sz w:val="18"/>
        </w:rPr>
        <w:t>" shall mean four leading power marketers, consisting of two power marketers selected by each party in good faith from among power marketers of the highest credit standing which satisfy all the criteria that such party applies generally at the time in deciding whether to offer or to make an extension of credit or to enter into agreements similar in nature to the Agreement.</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shall mean the party requesting a reduction in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Substitute Performance Assurance</w:t>
      </w:r>
      <w:r>
        <w:rPr>
          <w:rFonts w:cs="Arial Narrow" w:ascii="Arial Narrow" w:hAnsi="Arial Narrow"/>
          <w:sz w:val="18"/>
        </w:rPr>
        <w:t>" shall have the meaning attributed to it in Section III(b).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the Exposed Party, the Non-Exposed Party or the Requesting Party, as applicable:</w:t>
      </w:r>
    </w:p>
    <w:p>
      <w:pPr>
        <w:pStyle w:val="Normal"/>
        <w:spacing w:before="240" w:after="0"/>
        <w:ind w:start="360" w:end="0"/>
        <w:jc w:val="both"/>
        <w:rPr>
          <w:rFonts w:ascii="Arial Narrow" w:hAnsi="Arial Narrow" w:cs="Arial Narrow"/>
          <w:sz w:val="18"/>
        </w:rPr>
      </w:pPr>
      <w:r>
        <w:rPr>
          <w:rFonts w:cs="Arial Narrow" w:ascii="Arial Narrow" w:hAnsi="Arial Narrow"/>
          <w:sz w:val="18"/>
        </w:rPr>
        <w:t>(i) in the case of cash, payment or delivery by wire transfer into one or more bank accounts specified by the recipient; and</w:t>
      </w:r>
    </w:p>
    <w:p>
      <w:pPr>
        <w:pStyle w:val="Normal"/>
        <w:spacing w:before="240" w:after="0"/>
        <w:ind w:start="360" w:end="0"/>
        <w:jc w:val="both"/>
        <w:rPr>
          <w:rFonts w:ascii="Arial Narrow" w:hAnsi="Arial Narrow" w:cs="Arial Narrow"/>
          <w:sz w:val="18"/>
        </w:rPr>
      </w:pPr>
      <w:r>
        <w:rPr>
          <w:rFonts w:cs="Arial Narrow" w:ascii="Arial Narrow" w:hAnsi="Arial Narrow"/>
          <w:sz w:val="18"/>
        </w:rPr>
        <w:t>(ii) in the case of Letters of Credit, delivery of the Letter of Credit or an amendment thereto to the recipient.</w:t>
      </w:r>
    </w:p>
    <w:p>
      <w:pPr>
        <w:pStyle w:val="BodyTextIndent2"/>
        <w:ind w:firstLine="360" w:start="0" w:end="0"/>
        <w:rPr/>
      </w:pPr>
      <w:r>
        <w:rPr/>
        <w:t>"</w:t>
      </w:r>
      <w:r>
        <w:rPr>
          <w:u w:val="single"/>
        </w:rPr>
        <w:t>Value</w:t>
      </w:r>
      <w:r>
        <w:rPr/>
        <w:t>" shall mean (a) with respect to cash, the face amount thereof; and (b) with respect to Letters of Credit, the Valuation Percentage times the stated amount then available under the Letter of Credit to be unconditionally drawn by the Exposed Party.</w:t>
      </w:r>
    </w:p>
    <w:p>
      <w:pPr>
        <w:pStyle w:val="Normal"/>
        <w:spacing w:before="240" w:after="0"/>
        <w:jc w:val="both"/>
        <w:rPr/>
      </w:pPr>
      <w:r>
        <w:rPr>
          <w:rFonts w:cs="Arial Narrow" w:ascii="Arial Narrow" w:hAnsi="Arial Narrow"/>
          <w:sz w:val="18"/>
        </w:rPr>
        <w:t xml:space="preserve">II.  </w:t>
      </w:r>
      <w:r>
        <w:rPr>
          <w:rFonts w:cs="Arial Narrow" w:ascii="Arial Narrow" w:hAnsi="Arial Narrow"/>
          <w:sz w:val="18"/>
          <w:u w:val="single"/>
        </w:rPr>
        <w:t>Calculations</w:t>
      </w:r>
      <w:r>
        <w:rPr>
          <w:rFonts w:cs="Arial Narrow" w:ascii="Arial Narrow" w:hAnsi="Arial Narrow"/>
          <w:sz w:val="18"/>
        </w:rPr>
        <w:t>.  (a)  The "</w:t>
      </w:r>
      <w:r>
        <w:rPr>
          <w:rFonts w:cs="Arial Narrow" w:ascii="Arial Narrow" w:hAnsi="Arial Narrow"/>
          <w:sz w:val="18"/>
          <w:u w:val="single"/>
        </w:rPr>
        <w:t>Exposure Amount</w:t>
      </w:r>
      <w:r>
        <w:rPr>
          <w:rFonts w:cs="Arial Narrow" w:ascii="Arial Narrow" w:hAnsi="Arial Narrow"/>
          <w:sz w:val="18"/>
        </w:rPr>
        <w:t>" for (i) Party A is the amount by which the Termination Payment that would be owed to Party A plus Party B’s Independent Amount, if any, exceeds the Party B Collateral Threshold, less any Party B Performance Assurance already posted with Party A and (ii) Party B is the amount by which the Termination Payment that would be owed to Party B plus Party A’s Independent Amount, if any, exceeds the Party A Collateral Threshold, less any Party A Performance Assurance already posted with Party B.  The party having the greater Exposure Amount at any time (the “Exposed Party”) shall be deemed to have a "</w:t>
      </w:r>
      <w:r>
        <w:rPr>
          <w:rFonts w:cs="Arial Narrow" w:ascii="Arial Narrow" w:hAnsi="Arial Narrow"/>
          <w:sz w:val="18"/>
          <w:u w:val="single"/>
        </w:rPr>
        <w:t>Net Exposure</w:t>
      </w:r>
      <w:r>
        <w:rPr>
          <w:rFonts w:cs="Arial Narrow" w:ascii="Arial Narrow" w:hAnsi="Arial Narrow"/>
          <w:sz w:val="18"/>
        </w:rPr>
        <w:t>" to the other party (the “Non-Exposed Party”) equal to the difference between its Exposure Amount and the other party's Exposure Amount.</w:t>
      </w:r>
    </w:p>
    <w:p>
      <w:pPr>
        <w:pStyle w:val="BodyTextIndent"/>
        <w:spacing w:before="240" w:after="0"/>
        <w:ind w:hanging="0" w:end="0"/>
        <w:rPr/>
      </w:pPr>
      <w:r>
        <w:rPr/>
        <w:t xml:space="preserve">III.  </w:t>
      </w:r>
      <w:r>
        <w:rPr>
          <w:u w:val="single"/>
        </w:rPr>
        <w:t>Performance Assurance</w:t>
      </w:r>
      <w:r>
        <w:rPr/>
        <w:t xml:space="preserve">.  </w:t>
      </w:r>
    </w:p>
    <w:p>
      <w:pPr>
        <w:pStyle w:val="BodyTextIndent"/>
        <w:spacing w:before="240" w:after="0"/>
        <w:ind w:firstLine="720" w:end="0"/>
        <w:rPr/>
      </w:pPr>
      <w:r>
        <w:rPr/>
        <w:t xml:space="preserve">(a)  </w:t>
      </w:r>
      <w:r>
        <w:rPr>
          <w:u w:val="single"/>
        </w:rPr>
        <w:t>Reduction</w:t>
      </w:r>
      <w:r>
        <w:rPr/>
        <w:t>.  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  By reducing any such Performance Assurance, the Non-Requesting Party shall be deemed to release its security interest in, and lien on (and right of setoff against) such Performance Assurance, granted to the Non-Requesting Party pursuant to Section 8.3 of the Master Agreement.</w:t>
      </w:r>
    </w:p>
    <w:p>
      <w:pPr>
        <w:pStyle w:val="BodyTextIndent"/>
        <w:spacing w:before="240" w:after="0"/>
        <w:ind w:firstLine="720" w:end="0"/>
        <w:rPr/>
      </w:pPr>
      <w:r>
        <w:rPr/>
        <w:t xml:space="preserve">(b)  </w:t>
      </w:r>
      <w:r>
        <w:rPr>
          <w:u w:val="single"/>
        </w:rPr>
        <w:t>Substitutions</w:t>
      </w:r>
      <w:r>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BodyTextIndent"/>
        <w:spacing w:before="240" w:after="0"/>
        <w:rPr/>
      </w:pPr>
      <w:r>
        <w:rPr>
          <w:rFonts w:eastAsia="Arial Narrow"/>
        </w:rPr>
        <w:t xml:space="preserve">                 </w:t>
      </w:r>
      <w:r>
        <w:rPr/>
        <w:t xml:space="preserve">(ii)  Provided that no Event of Default has occurred and is continuing with respect to the Non-Exposed Party and that no Early Termination Date has occurred or been designated as the result of an Event of Default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u w:val="single"/>
        </w:rPr>
        <w:t>provided</w:t>
      </w:r>
      <w:r>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before="240" w:after="0"/>
        <w:jc w:val="both"/>
        <w:rPr/>
      </w:pPr>
      <w:r>
        <w:rPr>
          <w:rFonts w:cs="Arial Narrow" w:ascii="Arial Narrow" w:hAnsi="Arial Narrow"/>
          <w:sz w:val="18"/>
        </w:rPr>
        <w:t xml:space="preserve">IV.  </w:t>
      </w:r>
      <w:r>
        <w:rPr>
          <w:rFonts w:cs="Arial Narrow" w:ascii="Arial Narrow" w:hAnsi="Arial Narrow"/>
          <w:sz w:val="18"/>
          <w:u w:val="single"/>
        </w:rPr>
        <w:t>Delivery</w:t>
      </w:r>
      <w:r>
        <w:rPr>
          <w:rFonts w:cs="Arial Narrow" w:ascii="Arial Narrow" w:hAnsi="Arial Narrow"/>
          <w:sz w:val="18"/>
        </w:rPr>
        <w:t xml:space="preserve">.  Unless otherwise agreed in writing by the parties, Performance Assurance demanded of a Non-Exposed Party by 10:00 a.m., New York time, on a Business Day shall be provided by the close of business on the third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w:t>
      </w:r>
      <w:r>
        <w:rPr/>
        <w:t>cash</w:t>
      </w:r>
      <w:r>
        <w:rPr>
          <w:rFonts w:cs="Arial Narrow" w:ascii="Arial Narrow" w:hAnsi="Arial Narrow"/>
          <w:sz w:val="18"/>
        </w:rPr>
        <w:t xml:space="preserve"> may be delivered.  Following the failure of the Non-Exposed Party to provide, increase, renew, substitute, or maintain (as the case may be) Performance Assurance as required herein, the Non-Exposed Party shall be entitled to two (2) Business Days, after notice from the Exposed Party of such failure, to cure such failure.</w:t>
      </w:r>
    </w:p>
    <w:p>
      <w:pPr>
        <w:pStyle w:val="Normal"/>
        <w:spacing w:before="240" w:after="0"/>
        <w:jc w:val="both"/>
        <w:rPr/>
      </w:pPr>
      <w:r>
        <w:rPr>
          <w:rFonts w:cs="Arial Narrow" w:ascii="Arial Narrow" w:hAnsi="Arial Narrow"/>
          <w:sz w:val="18"/>
        </w:rPr>
        <w:t xml:space="preserve">V.  </w:t>
      </w:r>
      <w:r>
        <w:rPr>
          <w:rFonts w:cs="Arial Narrow" w:ascii="Arial Narrow" w:hAnsi="Arial Narrow"/>
          <w:sz w:val="18"/>
          <w:u w:val="single"/>
        </w:rPr>
        <w:t>Exposure Disputes</w:t>
      </w:r>
      <w:r>
        <w:rPr>
          <w:rFonts w:cs="Arial Narrow" w:ascii="Arial Narrow" w:hAnsi="Arial Narrow"/>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the amount of Performance Assurance due from it under Article 8 of the Master Agreement.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for the purpose of recalculating the Exposed Party’s Net Exposure and the Exposed Party shall inform the Non-Exposed Party of the results of such recalculation (in reasonable detail).  Performance Assurance shall thereupon be provided, returned, or reduced, if necessary, in accordance with the results of such recalculation.</w:t>
      </w:r>
    </w:p>
    <w:p>
      <w:pPr>
        <w:pStyle w:val="BodyTextIndent"/>
        <w:spacing w:before="240" w:after="0"/>
        <w:rPr/>
      </w:pPr>
      <w:r>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not later than the close of business on the second Business Day following the date that the demand is made by the Requesting Party, effect the reduction of such Performance Assurance to an amount equal to the Non-Requesting Party's own estimate, made in good faith and in a commercially reasonable manner, of the amount of Performance Assurance then owing by the Requesting Party under Article 8 of the Master Agreement.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for the purpose of recalculating the Exposed Party’s Net Exposure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spacing w:before="240" w:after="0"/>
        <w:jc w:val="both"/>
        <w:rPr/>
      </w:pPr>
      <w:r>
        <w:rPr>
          <w:rFonts w:cs="Arial Narrow" w:ascii="Arial Narrow" w:hAnsi="Arial Narrow"/>
          <w:sz w:val="18"/>
        </w:rPr>
        <w:t xml:space="preserve">VI.  </w:t>
      </w:r>
      <w:r>
        <w:rPr>
          <w:rFonts w:cs="Arial Narrow" w:ascii="Arial Narrow" w:hAnsi="Arial Narrow"/>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spacing w:before="240" w:after="0"/>
        <w:ind w:firstLine="360" w:end="0"/>
        <w:jc w:val="both"/>
        <w:rPr>
          <w:rFonts w:ascii="Arial Narrow" w:hAnsi="Arial Narrow" w:cs="Arial Narrow"/>
          <w:sz w:val="18"/>
        </w:rPr>
      </w:pPr>
      <w:r>
        <w:rPr>
          <w:rFonts w:cs="Arial Narrow" w:ascii="Arial Narrow" w:hAnsi="Arial Narrow"/>
          <w:sz w:val="18"/>
        </w:rPr>
        <w:t>(a)  As one method of providing Performance Assurance, the Non-Exposed Party may increase the amount of an outstanding Letter of Credit or establish one or more additional Letters of Credit.</w:t>
      </w:r>
    </w:p>
    <w:p>
      <w:pPr>
        <w:pStyle w:val="Normal"/>
        <w:spacing w:before="240" w:after="0"/>
        <w:ind w:firstLine="360" w:end="0"/>
        <w:jc w:val="both"/>
        <w:rPr>
          <w:rFonts w:ascii="Arial Narrow" w:hAnsi="Arial Narrow" w:cs="Arial Narrow"/>
          <w:sz w:val="18"/>
        </w:rPr>
      </w:pPr>
      <w:r>
        <w:rPr>
          <w:rFonts w:cs="Arial Narrow" w:ascii="Arial Narrow" w:hAnsi="Arial Narrow"/>
          <w:sz w:val="18"/>
        </w:rPr>
        <w:t>(b)  Cash proceeds received from drawing upon the Letter of Credit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(c)  A Non-Exposed Party may substitute either cash or a Letter of Credit for one or more other outstanding Letter(s) of Credit issued for the benefit of the Exposed Party, provided that the Value of such substitute cash or Letter of Credit shall be at least equal to the Value of the Letter(s) of Credit being replaced (determined in good faith and in a commercially reasonable manner by the Exposed Party), and provided further that in the case of a substitute Letter of Credit being provided, no Letter of Credit shall be canceled unless and until the Letter of Credit to be substituted therefor shall have been validly executed and issued for the benefit of the Exposed Party in accordance with applicable law.</w:t>
      </w:r>
    </w:p>
    <w:p>
      <w:pPr>
        <w:pStyle w:val="Normal"/>
        <w:spacing w:before="240" w:after="0"/>
        <w:ind w:firstLine="36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(d)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before="240" w:after="0"/>
        <w:jc w:val="both"/>
        <w:rPr/>
      </w:pPr>
      <w:r>
        <w:rPr>
          <w:rFonts w:cs="Arial Narrow" w:ascii="Arial Narrow" w:hAnsi="Arial Narrow"/>
          <w:sz w:val="18"/>
        </w:rPr>
        <w:t xml:space="preserve">VII.  </w:t>
      </w:r>
      <w:r>
        <w:rPr>
          <w:rFonts w:cs="Arial Narrow" w:ascii="Arial Narrow" w:hAnsi="Arial Narrow"/>
          <w:sz w:val="18"/>
          <w:u w:val="single"/>
        </w:rPr>
        <w:t>Cash</w:t>
      </w:r>
      <w:r>
        <w:rPr>
          <w:rFonts w:cs="Arial Narrow" w:ascii="Arial Narrow" w:hAnsi="Arial Narrow"/>
          <w:sz w:val="18"/>
        </w:rPr>
        <w:t>.  Performance Assurance provided in the form of cash shall be subject to the following provisions.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Eligibility to Hold Cash</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(i) if EPMI is the Exposed Party, EPMI will be entitled to hold cash or to appoint an agent (a "Custodian") to hold cash for it provided that the following conditions are satisfied:  (1) it is not a Defaulting Party, (2) Enron Corp. has a Credit Rating from S&amp;P and the lowest Credit Rating for Enron Corp. is "BBB-" or higher by S&amp;P</w:t>
      </w:r>
      <w:r>
        <w:rPr>
          <w:rFonts w:cs="Arial Narrow" w:ascii="Arial Narrow" w:hAnsi="Arial Narrow"/>
          <w:color w:val="000000"/>
          <w:sz w:val="18"/>
        </w:rPr>
        <w:t>; and</w:t>
      </w:r>
      <w:r>
        <w:rPr>
          <w:rFonts w:cs="Arial Narrow" w:ascii="Arial Narrow" w:hAnsi="Arial Narrow"/>
          <w:sz w:val="18"/>
        </w:rPr>
        <w:t xml:space="preserve"> (3) cash shall be held only in any jurisdiction within the United States.</w:t>
      </w:r>
    </w:p>
    <w:p>
      <w:pPr>
        <w:pStyle w:val="Normal"/>
        <w:spacing w:before="240" w:after="0"/>
        <w:ind w:firstLine="360" w:end="0"/>
        <w:jc w:val="both"/>
        <w:rPr/>
      </w:pPr>
      <w:r>
        <w:rPr>
          <w:rFonts w:cs="Arial Narrow" w:ascii="Arial Narrow" w:hAnsi="Arial Narrow"/>
          <w:sz w:val="18"/>
        </w:rPr>
        <w:t xml:space="preserve">(ii) if Counterparty is the Exposed Party, Counterparty will be entitled to hold cash or to appoint a Custodian to hold cash for it provided the following conditions are satisfied:  (1) it is not a Defaulting Party, (2) </w:t>
      </w:r>
      <w:r>
        <w:rPr>
          <w:rFonts w:cs="Arial Narrow" w:ascii="Arial Narrow" w:hAnsi="Arial Narrow"/>
          <w:color w:val="FF0000"/>
          <w:sz w:val="18"/>
        </w:rPr>
        <w:t>[[</w:t>
      </w:r>
      <w:r>
        <w:rPr>
          <w:rFonts w:cs="Arial Narrow" w:ascii="Arial Narrow" w:hAnsi="Arial Narrow"/>
          <w:sz w:val="18"/>
        </w:rPr>
        <w:t>it</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its Guarantor</w:t>
      </w:r>
      <w:r>
        <w:rPr>
          <w:rFonts w:cs="Arial Narrow" w:ascii="Arial Narrow" w:hAnsi="Arial Narrow"/>
          <w:color w:val="FF0000"/>
          <w:sz w:val="18"/>
        </w:rPr>
        <w:t>]</w:t>
      </w:r>
      <w:r>
        <w:rPr>
          <w:rFonts w:cs="Arial Narrow" w:ascii="Arial Narrow" w:hAnsi="Arial Narrow"/>
          <w:sz w:val="18"/>
        </w:rPr>
        <w:t xml:space="preserve"> has a Credit Rating from </w:t>
      </w:r>
      <w:r>
        <w:rPr>
          <w:rFonts w:cs="Arial Narrow" w:ascii="Arial Narrow" w:hAnsi="Arial Narrow"/>
          <w:color w:val="FF0000"/>
          <w:sz w:val="18"/>
        </w:rPr>
        <w:t>[</w:t>
      </w:r>
      <w:r>
        <w:rPr>
          <w:rFonts w:cs="Arial Narrow" w:ascii="Arial Narrow" w:hAnsi="Arial Narrow"/>
          <w:sz w:val="18"/>
        </w:rPr>
        <w:t>S&amp;P</w:t>
      </w:r>
      <w:r>
        <w:rPr>
          <w:rFonts w:cs="Arial Narrow" w:ascii="Arial Narrow" w:hAnsi="Arial Narrow"/>
          <w:color w:val="FF0000"/>
          <w:sz w:val="18"/>
        </w:rPr>
        <w:t>][</w:t>
      </w:r>
      <w:r>
        <w:rPr>
          <w:rFonts w:cs="Arial Narrow" w:ascii="Arial Narrow" w:hAnsi="Arial Narrow"/>
          <w:sz w:val="18"/>
        </w:rPr>
        <w:t>Moody’s</w:t>
      </w:r>
      <w:r>
        <w:rPr>
          <w:rFonts w:cs="Arial Narrow" w:ascii="Arial Narrow" w:hAnsi="Arial Narrow"/>
          <w:color w:val="FF0000"/>
          <w:sz w:val="18"/>
        </w:rPr>
        <w:t>]</w:t>
      </w:r>
      <w:r>
        <w:rPr>
          <w:rFonts w:cs="Arial Narrow" w:ascii="Arial Narrow" w:hAnsi="Arial Narrow"/>
          <w:sz w:val="18"/>
        </w:rPr>
        <w:t xml:space="preserve"> and the lowest Credit Rating for </w:t>
      </w:r>
      <w:r>
        <w:rPr>
          <w:rFonts w:cs="Arial Narrow" w:ascii="Arial Narrow" w:hAnsi="Arial Narrow"/>
          <w:color w:val="FF0000"/>
          <w:sz w:val="18"/>
        </w:rPr>
        <w:t>[</w:t>
      </w:r>
      <w:r>
        <w:rPr>
          <w:rFonts w:cs="Arial Narrow" w:ascii="Arial Narrow" w:hAnsi="Arial Narrow"/>
          <w:sz w:val="18"/>
        </w:rPr>
        <w:t>it</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its or Counterparty’s Guarantor</w:t>
      </w:r>
      <w:r>
        <w:rPr>
          <w:rFonts w:cs="Arial Narrow" w:ascii="Arial Narrow" w:hAnsi="Arial Narrow"/>
          <w:color w:val="FF0000"/>
          <w:sz w:val="18"/>
        </w:rPr>
        <w:t>]</w:t>
      </w:r>
      <w:r>
        <w:rPr>
          <w:rFonts w:cs="Arial Narrow" w:ascii="Arial Narrow" w:hAnsi="Arial Narrow"/>
          <w:sz w:val="18"/>
        </w:rPr>
        <w:t xml:space="preserve"> is "___" or higher by S&amp;P </w:t>
      </w:r>
      <w:r>
        <w:rPr>
          <w:rFonts w:cs="Arial Narrow" w:ascii="Arial Narrow" w:hAnsi="Arial Narrow"/>
          <w:color w:val="FF0000"/>
          <w:sz w:val="18"/>
        </w:rPr>
        <w:t>[</w:t>
      </w:r>
      <w:r>
        <w:rPr>
          <w:rFonts w:cs="Arial Narrow" w:ascii="Arial Narrow" w:hAnsi="Arial Narrow"/>
          <w:sz w:val="18"/>
        </w:rPr>
        <w:t>or "___" or higher by Moody's</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no Downgrade Event has occurred with respect to Counterparty</w:t>
      </w:r>
      <w:r>
        <w:rPr>
          <w:rFonts w:cs="Arial Narrow" w:ascii="Arial Narrow" w:hAnsi="Arial Narrow"/>
          <w:color w:val="FF0000"/>
          <w:sz w:val="18"/>
        </w:rPr>
        <w:t>] [or Counterparty’s Guarantor]</w:t>
      </w:r>
      <w:r>
        <w:rPr>
          <w:rFonts w:cs="Arial Narrow" w:ascii="Arial Narrow" w:hAnsi="Arial Narrow"/>
          <w:color w:val="000000"/>
          <w:sz w:val="18"/>
        </w:rPr>
        <w:t xml:space="preserve">, and </w:t>
      </w:r>
      <w:r>
        <w:rPr>
          <w:rFonts w:cs="Arial Narrow" w:ascii="Arial Narrow" w:hAnsi="Arial Narrow"/>
          <w:sz w:val="18"/>
        </w:rPr>
        <w:t>(3) cash shall be held only in any jurisdiction within the United States.</w:t>
      </w:r>
    </w:p>
    <w:p>
      <w:pPr>
        <w:pStyle w:val="BodyText"/>
        <w:ind w:firstLine="360" w:end="0"/>
        <w:rPr>
          <w:sz w:val="18"/>
        </w:rPr>
      </w:pPr>
      <w:r>
        <w:rPr>
          <w:sz w:val="18"/>
        </w:rPr>
        <w:t>(iii)</w:t>
        <w:tab/>
        <w:t>Upon notice by the Exposed Party to the Non-Exposed Party of the appointment of a Custodian, the Non-Exposed Party's obligations to make any Transfer will be discharged by making the Transfer to that Custodian.  The holding of cash by a Custodian will be deemed to be the holding of cash by the Exposed Party for which the Custodian is acting.  If the Exposed Party fails to satisfy any conditions for holding cash as set forth above, then the Exposed Party will Transfer or cause the Custodian to Transfer the cash to a Qualified Institution (as defined herein) and the cash shall be maintained in accordance with Sections VII(b) and (c), with the party not eligible to hold cash being considered the "Downgraded Party" (as defined in Section VII(b)).  The Exposed Party will be liable for the acts or omissions of its Custodian to the same extent that the Exposed Party would be liable hereunder for its own acts or omissions.</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Use of Cash</w:t>
      </w:r>
      <w:r>
        <w:rPr>
          <w:rFonts w:cs="Arial Narrow" w:ascii="Arial Narrow" w:hAnsi="Arial Narrow"/>
          <w:sz w:val="18"/>
        </w:rPr>
        <w:t xml:space="preserve">.  Notwithstanding the provisions of applicable law, if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cs="Arial Narrow" w:ascii="Arial Narrow" w:hAnsi="Arial Narrow"/>
          <w:sz w:val="18"/>
          <w:u w:val="single"/>
        </w:rPr>
        <w:t>provided, however</w:t>
      </w:r>
      <w:r>
        <w:rPr>
          <w:rFonts w:cs="Arial Narrow" w:ascii="Arial Narrow" w:hAnsi="Arial Narrow"/>
          <w:sz w:val="18"/>
        </w:rPr>
        <w:t>, that if a party is not eligible to hold cash pursuant to Section VII(a) (such party shall be the "Downgraded Party" and the event that caused it to be ineligible to hold cash shall be a "Credit Rating Event") then:</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provisions of this Section VII(b) will not apply with respect to the Downgraded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spacing w:before="240" w:after="0"/>
        <w:ind w:firstLine="180" w:start="180" w:end="0"/>
        <w:jc w:val="both"/>
        <w:rPr/>
      </w:pPr>
      <w:r>
        <w:rPr>
          <w:rFonts w:cs="Arial Narrow" w:ascii="Arial Narrow" w:hAnsi="Arial Narrow"/>
          <w:sz w:val="18"/>
        </w:rPr>
        <w:t xml:space="preserve">(c)  </w:t>
      </w:r>
      <w:r>
        <w:rPr>
          <w:rFonts w:cs="Arial Narrow" w:ascii="Arial Narrow" w:hAnsi="Arial Narrow"/>
          <w:sz w:val="18"/>
          <w:u w:val="single"/>
        </w:rPr>
        <w:t>Interest Payments on Cash</w:t>
      </w:r>
      <w:r>
        <w:rPr>
          <w:rFonts w:cs="Arial Narrow" w:ascii="Arial Narrow" w:hAnsi="Arial Narrow"/>
          <w:sz w:val="18"/>
        </w:rPr>
        <w:t>.  (i) Subject to the provisions of Section VII(c)(ii) below and 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Eligible Collateral hereunder until the obligations of the Non-Exposed Party under the Agreement have been satisfied.</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start="180" w:end="0"/>
        <w:jc w:val="both"/>
        <w:rPr>
          <w:rFonts w:ascii="Arial Narrow" w:hAnsi="Arial Narrow" w:cs="Arial Narrow"/>
          <w:sz w:val="18"/>
        </w:rPr>
      </w:pPr>
      <w:r>
        <w:rPr>
          <w:rFonts w:cs="Arial Narrow" w:ascii="Arial Narrow" w:hAnsi="Arial Narrow"/>
          <w:sz w:val="18"/>
        </w:rPr>
        <w:t>(ii) If in accordance with the provisions of Section VII(b), a party is not permitted to use cash, the provisions of Section VII(c)(i) will not apply with respect to cash and the investment of cash shall be governed as follows:</w:t>
      </w:r>
    </w:p>
    <w:p>
      <w:pPr>
        <w:pStyle w:val="Normal"/>
        <w:spacing w:before="240" w:after="0"/>
        <w:ind w:firstLine="270" w:start="360" w:end="0"/>
        <w:jc w:val="both"/>
        <w:rPr>
          <w:rFonts w:ascii="Arial Narrow" w:hAnsi="Arial Narrow" w:cs="Arial Narrow"/>
          <w:sz w:val="18"/>
        </w:rPr>
      </w:pPr>
      <w:r>
        <w:rPr>
          <w:rFonts w:cs="Arial Narrow" w:ascii="Arial Narrow" w:hAnsi="Arial Narrow"/>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before="240" w:after="0"/>
        <w:ind w:firstLine="360" w:end="0"/>
        <w:jc w:val="both"/>
        <w:rPr/>
      </w:pPr>
      <w:r>
        <w:rPr>
          <w:rFonts w:cs="Arial Narrow" w:ascii="Arial Narrow" w:hAnsi="Arial Narrow"/>
          <w:sz w:val="18"/>
        </w:rPr>
        <w:t xml:space="preserve">(d)  </w:t>
      </w:r>
      <w:r>
        <w:rPr>
          <w:rFonts w:cs="Arial Narrow" w:ascii="Arial Narrow" w:hAnsi="Arial Narrow"/>
          <w:sz w:val="18"/>
          <w:u w:val="single"/>
        </w:rPr>
        <w:t>Care of Cash</w:t>
      </w:r>
      <w:r>
        <w:rPr>
          <w:rFonts w:cs="Arial Narrow" w:ascii="Arial Narrow" w:hAnsi="Arial Narrow"/>
          <w:sz w:val="18"/>
        </w:rPr>
        <w:t>.  Without limiting the Exposed Party's rights under Paragraph VII(b),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spacing w:before="240" w:after="0"/>
        <w:jc w:val="both"/>
        <w:rPr/>
      </w:pPr>
      <w:r>
        <w:rPr>
          <w:rFonts w:cs="Arial Narrow" w:ascii="Arial Narrow" w:hAnsi="Arial Narrow"/>
          <w:sz w:val="18"/>
        </w:rPr>
        <w:t xml:space="preserve">VIII.  </w:t>
      </w:r>
      <w:r>
        <w:rPr>
          <w:rFonts w:cs="Arial Narrow" w:ascii="Arial Narrow" w:hAnsi="Arial Narrow"/>
          <w:sz w:val="18"/>
          <w:u w:val="single"/>
        </w:rPr>
        <w:t>Representations</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before="240" w:after="0"/>
        <w:jc w:val="both"/>
        <w:rPr>
          <w:rFonts w:ascii="Arial Narrow" w:hAnsi="Arial Narrow" w:cs="Arial Narrow"/>
          <w:sz w:val="18"/>
        </w:rPr>
      </w:pPr>
      <w:r>
        <w:rPr>
          <w:rFonts w:cs="Arial Narrow" w:ascii="Arial Narrow" w:hAnsi="Arial Narrow"/>
          <w:sz w:val="18"/>
        </w:rPr>
        <w:t xml:space="preserve">IX.  </w:t>
      </w:r>
      <w:r>
        <w:rPr>
          <w:rFonts w:cs="Arial Narrow" w:ascii="Arial Narrow" w:hAnsi="Arial Narrow"/>
          <w:sz w:val="18"/>
          <w:u w:val="single"/>
        </w:rPr>
        <w:t>Certain Rights and Remedies.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Exposed Party's Rights and Remedies</w:t>
      </w:r>
      <w:r>
        <w:rPr>
          <w:rFonts w:cs="Arial Narrow" w:ascii="Arial Narrow" w:hAnsi="Arial Narrow"/>
          <w:sz w:val="18"/>
        </w:rPr>
        <w:t>.  If at any time (i) an Event of Default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including any such rights and remedies under law then in effect; (y) exercise its rights of setoff against any and all property of the Non-Exposed Party in the possession of the Exposed Party or its agent; and (z) draw on any outstanding Letter of Credit issued for its benefit.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Non-Exposed Party's Rights and Remedies</w:t>
      </w:r>
      <w:r>
        <w:rPr>
          <w:rFonts w:cs="Arial Narrow" w:ascii="Arial Narrow" w:hAnsi="Arial Narrow"/>
          <w:sz w:val="18"/>
        </w:rPr>
        <w:t xml:space="preserve">.  If at any time an Early Termination Date has occurred or been designated as the result of an Event of Default with respect to the Exposed Party, then: </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Exposed Party will be obligated immediately to Transfer all Performance Assurance (other than Letters of Credit) and the Interest Amount, if any, to the Non-Exposed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spacing w:before="240" w:after="0"/>
        <w:jc w:val="both"/>
        <w:rPr/>
      </w:pPr>
      <w:r>
        <w:rPr>
          <w:rFonts w:cs="Arial Narrow" w:ascii="Arial Narrow" w:hAnsi="Arial Narrow"/>
          <w:sz w:val="18"/>
        </w:rPr>
        <w:t xml:space="preserve">X.  </w:t>
      </w:r>
      <w:r>
        <w:rPr>
          <w:rFonts w:cs="Arial Narrow" w:ascii="Arial Narrow" w:hAnsi="Arial Narrow"/>
          <w:sz w:val="18"/>
          <w:u w:val="single"/>
        </w:rPr>
        <w:t>General</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 xml:space="preserve">(i)  </w:t>
      </w:r>
      <w:r>
        <w:rPr>
          <w:rFonts w:cs="Arial Narrow" w:ascii="Arial Narrow" w:hAnsi="Arial Narrow"/>
          <w:sz w:val="18"/>
          <w:u w:val="single"/>
        </w:rPr>
        <w:t>Substitutions</w:t>
      </w:r>
      <w:r>
        <w:rPr>
          <w:rFonts w:cs="Arial Narrow" w:ascii="Arial Narrow" w:hAnsi="Arial Narrow"/>
          <w:sz w:val="18"/>
        </w:rPr>
        <w:t xml:space="preserve">.  </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Expenses</w:t>
      </w:r>
      <w:r>
        <w:rPr>
          <w:rFonts w:cs="Arial Narrow" w:ascii="Arial Narrow" w:hAnsi="Arial Narrow"/>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firstLine="360" w:end="0"/>
        <w:jc w:val="both"/>
        <w:rPr>
          <w:rFonts w:ascii="Arial Narrow" w:hAnsi="Arial Narrow" w:cs="Arial Narrow"/>
          <w:sz w:val="18"/>
        </w:rPr>
      </w:pPr>
      <w:r>
        <w:rPr>
          <w:rFonts w:cs="Arial Narrow" w:ascii="Arial Narrow" w:hAnsi="Arial Narrow"/>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pStyle w:val="Normal"/>
        <w:spacing w:before="240" w:after="0"/>
        <w:ind w:firstLine="288" w:start="72" w:end="0"/>
        <w:jc w:val="both"/>
        <w:rPr>
          <w:rFonts w:ascii="Arial Narrow" w:hAnsi="Arial Narrow" w:cs="Arial Narrow"/>
          <w:sz w:val="18"/>
        </w:rPr>
      </w:pPr>
      <w:r>
        <w:rPr>
          <w:rFonts w:cs="Arial Narrow" w:ascii="Arial Narrow" w:hAnsi="Arial Narrow"/>
          <w:sz w:val="18"/>
        </w:rPr>
        <w:t>(iii)  All reasonable costs and expenses incurred by or on behalf of the Exposed Party or the Non-Exposed Party in connection with the liquidation and/or application of any Performance Assurance under Section IX will be payable, on demand and pursuant to the Master Agreement, by the Defaulting Party or, if there is no Defaulting Party, equally by the parties.</w:t>
      </w:r>
    </w:p>
    <w:p>
      <w:pPr>
        <w:pStyle w:val="Normal"/>
        <w:spacing w:before="240" w:after="0"/>
        <w:jc w:val="both"/>
        <w:rPr>
          <w:rFonts w:ascii="Arial Narrow" w:hAnsi="Arial Narrow" w:cs="Arial Narrow"/>
          <w:sz w:val="18"/>
        </w:rPr>
      </w:pPr>
      <w:r>
        <w:rPr>
          <w:rFonts w:cs="Arial Narrow" w:ascii="Arial Narrow" w:hAnsi="Arial Narrow"/>
          <w:sz w:val="18"/>
        </w:rPr>
      </w:r>
    </w:p>
    <w:p>
      <w:pPr>
        <w:pStyle w:val="Normal"/>
        <w:spacing w:before="240" w:after="0"/>
        <w:jc w:val="both"/>
        <w:rPr>
          <w:rFonts w:ascii="Arial Narrow" w:hAnsi="Arial Narrow" w:cs="Arial Narrow"/>
          <w:sz w:val="18"/>
        </w:rPr>
      </w:pPr>
      <w:r>
        <w:rPr>
          <w:rFonts w:cs="Arial Narrow" w:ascii="Arial Narrow" w:hAnsi="Arial Narrow"/>
          <w:sz w:val="18"/>
        </w:rPr>
      </w:r>
    </w:p>
    <w:sectPr>
      <w:footnotePr>
        <w:numFmt w:val="decimal"/>
      </w:footnotePr>
      <w:type w:val="nextPage"/>
      <w:pgSz w:w="12240" w:h="15840"/>
      <w:pgMar w:left="1008" w:right="1008" w:gutter="0" w:header="0" w:top="1008" w:footer="0" w:bottom="1008"/>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Narrow" w:ascii="Arial Narrow" w:hAnsi="Arial Narrow"/>
          <w:sz w:val="18"/>
        </w:rPr>
        <w:t>Likely insert for industrial counterparties.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2001-05-10T14:18:00Z</dcterms:created>
  <dc:creator>mheard</dc:creator>
  <dc:description/>
  <dc:language>en-CA</dc:language>
  <cp:lastModifiedBy>jhmoore</cp:lastModifiedBy>
  <cp:lastPrinted>2001-05-10T11:51:00Z</cp:lastPrinted>
  <dcterms:modified xsi:type="dcterms:W3CDTF">2001-05-10T14:25:00Z</dcterms:modified>
  <cp:revision>4</cp:revision>
  <dc:subject/>
  <dc:title>This Master Agreement is entered into as of _____________, 199_ (this "Master Agreement") between _________________, a __________ corporation ("Counterparty") and ENRON NORTH AMERICA CORP</dc:title>
</cp:coreProperties>
</file>