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left" w:pos="0" w:leader="none"/>
        </w:tabs>
        <w:suppressAutoHyphens w:val="true"/>
        <w:jc w:val="both"/>
        <w:rPr>
          <w:b/>
          <w:sz w:val="24"/>
          <w:u w:val="single"/>
        </w:rPr>
      </w:pPr>
      <w:r>
        <w:rPr>
          <w:b/>
          <w:sz w:val="24"/>
          <w:u w:val="single"/>
        </w:rPr>
      </w:r>
    </w:p>
    <w:p>
      <w:pPr>
        <w:pStyle w:val="Normal"/>
        <w:tabs>
          <w:tab w:val="clear" w:pos="720"/>
          <w:tab w:val="left" w:pos="0" w:leader="none"/>
        </w:tabs>
        <w:suppressAutoHyphens w:val="true"/>
        <w:jc w:val="both"/>
        <w:rPr>
          <w:sz w:val="24"/>
        </w:rPr>
      </w:pPr>
      <w:r>
        <w:rPr>
          <w:sz w:val="24"/>
        </w:rPr>
        <w:tab/>
        <w:t xml:space="preserve">This Collateral Annex, together with the Paragraph 10 Elections,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transfer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Local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bCs/>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any entity, on any date of determination, the respective ratings then assigned to such entity’s unsecured, senior long-term debt or deposit obligations (not supported by third party credit enhancement) by S&amp;P, Moody’s or other specified rating agency or agencies or if such entity does not have a rating for its unsecured, senior long-term debt or deposit obligations, then the rating assigned to such entity as its “corporate credit rating” by S&amp;P.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Section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 Party and an Interest Period, the sum of the daily interest amounts for all days in such Interest Period; each daily interest amount to be determined by such Party as follows: (a) the amount of Cash held by such Party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Local Business Day on which an Interest Amount was Transferred by a Party (or if no Interest Amount has yet been Transferred by such Party, the Local Business Day on which Cash was Transferred to such Party) to (but excluding) the Local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means, in respect of a Party holding Cash, the rate specified for such Party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or be continuing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(i)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(ii) having a capital and surplus of at least $1,000,000,000.</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a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delivery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delivery thereof as specified by the recipient.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specified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b/>
          <w:bCs/>
          <w:color w:val="000000"/>
          <w:sz w:val="24"/>
        </w:rPr>
      </w:pPr>
      <w:r>
        <w:rPr>
          <w:sz w:val="24"/>
        </w:rPr>
        <w:t xml:space="preserve">(3) the Collateral Value of each Letter of Credit and any other form of Performance Assurance (other than Cash) maintained by the Pledging Party for the benefit of the Secured Party;   </w:t>
      </w:r>
      <w:r>
        <w:rPr>
          <w:sz w:val="24"/>
          <w:u w:val="single"/>
        </w:rPr>
        <w:t>p</w:t>
      </w:r>
      <w:r>
        <w:rPr>
          <w:color w:val="000000"/>
          <w:sz w:val="24"/>
          <w:u w:val="single"/>
        </w:rPr>
        <w:t>rovided, however</w:t>
      </w:r>
      <w:r>
        <w:rPr>
          <w:color w:val="000000"/>
          <w:sz w:val="24"/>
        </w:rPr>
        <w:t xml:space="preserve">, that, the Collateral Requirement of a Party will be deemed to be zero (0) whenever the calculation of such Party’s Collateral Requirement yields a number less than zero (0).  </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The amount of Performance Assurance required to be Transferred hereunder shall be rounded up to the nearest integral multiple of the Rounding Amount.  </w:t>
      </w:r>
      <w:r>
        <w:rPr>
          <w:bCs/>
          <w:sz w:val="24"/>
        </w:rPr>
        <w:t>Unless otherwise agreed in writing by the Parties, (i) Performance Assurance demanded of a  Pledging Party on or before the Notification Time on a Local Business Day shall be provided by the close of business on the next Local Business Day and (ii) Performance Assurance demanded of a  Pledging Party after the Notification Time on a Local Business Day shall be provided by the close of business on the second Local Business Day thereafter.</w:t>
      </w:r>
      <w:r>
        <w:rPr>
          <w:sz w:val="24"/>
        </w:rPr>
        <w:t xml:space="preserve">  Any Letter of Credit or other type of Performance Assurance (other than Cash) shall be delivered to such address as the Secured Party shall specify and any such demand made by the Secured Party pursuant to this Section 4 shall specify account information for the account to which Performance Assurance in the form of Cash shall be delivered.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tab/>
      </w:r>
      <w:r>
        <w:rPr>
          <w:sz w:val="24"/>
        </w:rPr>
        <w:t>(a)</w:t>
        <w:tab/>
        <w:t xml:space="preserve">On any Local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after giving effect to the requested reduction in Performance Assurance, (i) the Pledging Party shall in fact have a Collateral Requirement of zero; (ii) no Event of Default or Potential Event of Default with respect to the Pledging Party shall have occurred and be continuing; and (iii) no Early Termination Date has occurred or been designated as a result of an Event of Default with respect to the Pledging Party for which there exist any unsatisfied payment Obligations.  A permitted reduction in Performance Assurance may be effected by the Transfer of Cash to the Pledging Party or the reduction of the amount of an outstanding Letter of Credit previously issued for the benefit of the Secured Party.  The amount of Performance Assurance required to be reduced hereunder shall be rounded down to the nearest integral multiple of the Rounding Amount.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Unless otherwise agreed in writing by the Parties, (i) if the Pledging Party’s reduction demand is made on or before the Notification Time on a Business Day, then t</w:t>
      </w:r>
      <w:r>
        <w:rPr>
          <w:sz w:val="24"/>
        </w:rPr>
        <w:t xml:space="preserve">he Secured Party shall have one (1) Local Business Day  to effect a permitted reduction in Performance Assurance and (ii) </w:t>
      </w:r>
      <w:r>
        <w:rPr>
          <w:bCs/>
          <w:sz w:val="24"/>
        </w:rPr>
        <w:t>if the Pledging Party’s reduction demand is made after the Notification Time on a Local Business Day, then t</w:t>
      </w:r>
      <w:r>
        <w:rPr>
          <w:sz w:val="24"/>
        </w:rPr>
        <w:t xml:space="preserve">he Secured Party shall have two (2) Local Business Days to effect a permitted reduction in Performance Assurance, in each case,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  </w:t>
      </w:r>
    </w:p>
    <w:p>
      <w:pPr>
        <w:pStyle w:val="BodyText3"/>
        <w:rPr>
          <w:sz w:val="24"/>
        </w:rPr>
      </w:pPr>
      <w:r>
        <w:rPr>
          <w:sz w:val="24"/>
        </w:rPr>
      </w:r>
    </w:p>
    <w:p>
      <w:pPr>
        <w:pStyle w:val="BodyText3"/>
        <w:rPr>
          <w:b/>
        </w:rPr>
      </w:pPr>
      <w:r>
        <w:rPr/>
        <w:tab/>
        <w:t>(b)</w:t>
        <w:tab/>
        <w:t xml:space="preserve">Except when (i) an Event of Default or Potential Event of Default with respect to the Pledging Party shall have occurred and be continuing or (ii) an Early Termination Date has occurred or been designated as a result of an Event of Default with respect to the Pledging Party for which there exist any unsatisfied payment Obligations, the Pledging Party may substitute Performance Assurance for other existing Performance Assurance of equal Collateral Value upon one (1) Local Business Day’s written notice (provided such notice is made on or before the Notification Time, otherwise the notification period shall be two (2) Local Business Days)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within two (2) Local Business Days.  Notwithstanding anything herein to the contrary, no such substitution shall be permitted unless (i) the substitute Performance Assurance is delivered simultaneously or has been delivered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Collateral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representation and warranty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Paragraph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Paragraph 5 shall be deemed a release by the Secured Party of its security interest, general first lien and right of offset granted pursuant to Paragraph 2 hereof only with respect to such returned Performance Assurance.  In connection with each Transfer of any Performance Assurance pursuant to this Paragraph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w:t>
      </w:r>
      <w:r>
        <w:rPr>
          <w:sz w:val="24"/>
          <w:u w:val="single"/>
        </w:rPr>
        <w:t>Custodian</w:t>
      </w:r>
      <w:r>
        <w:rPr>
          <w:sz w:val="24"/>
        </w:rPr>
        <w:t>")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6(a)(ii)(B), with the Party not eligible to hold Cash being considered the "</w:t>
      </w:r>
      <w:r>
        <w:rPr>
          <w:sz w:val="24"/>
          <w:u w:val="single"/>
        </w:rPr>
        <w:t>Downgraded Party</w:t>
      </w:r>
      <w:r>
        <w:rPr>
          <w:sz w:val="24"/>
        </w:rPr>
        <w:t xml:space="preserve">" (as defined below).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for which there exist any unsatisfied payment Obligations,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bCs/>
          <w:sz w:val="24"/>
        </w:rPr>
      </w:pPr>
      <w:r>
        <w:rPr>
          <w:sz w:val="24"/>
        </w:rPr>
        <w:t>(B)   the Downgraded Party shall be required to deliver (or cause to be delivered) not later than the close of business on the next Local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execute such account control agreements as are necessary or applicable to perfect the security interest of the Non-Downgraded Party therein pursuant to Section 9-314 of the Uniform Commercial Code or otherwise, and subject to such security interest, for the ownership and benefit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Interest Payments on Cash</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deliver Performance Assurance would not be created or increased by the Transfer, in the event that the Secured Party or its Custodian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Local Business Day of the first month after the last month to which such invoice relates or (B) the third Local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(i)  Unless otherwise agreed to in writing by the parties, each Letter of Credit shall be provided in accordance with Paragraph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Local Business Days prior to the expiration of the outstanding Letter of Credit, and (C) if a bank issuing a Letter of Credit shall fail to honor the Secured Party's properly documented request to draw on an outstanding Letter of Credit</w:t>
      </w:r>
      <w:r>
        <w:rPr>
          <w:bCs/>
          <w:sz w:val="24"/>
        </w:rPr>
        <w:t>, provide for the benefit of the Secured Party either a substitute Letter of Credit that is issued by a bank acceptable to the Secured Party or other Eligible Collateral, in each case within one (1) Local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deliver to the Secured Party either a substitute Letter of Credit or other Eligible Collateral, in each case on or before the first Local Business Day after the occurrence thereof (or the fifth (5th) Local Business Day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for which there exist any unsatisfied payment Obligations, then </w:t>
      </w:r>
      <w:r>
        <w:rPr>
          <w:sz w:val="24"/>
          <w:szCs w:val="24"/>
        </w:rPr>
        <w:t>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Section 7 with respect to such cash proceeds.  Notwithstanding the Secured Party’s receipt of Cash proceeds of a drawing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(as the case may be)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Except as otherwise provided in Paragraph 6(a)(iii) and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delivered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Paragraph 6(a)(ii),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Secured Party shall be under no obligation to prioritize the order with respect to which it exercises any one or more rights and remedies available hereunder.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disputes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 on the first Local Business Day following the date that the demand for Performance Assurance is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w:t>
      </w:r>
      <w:r>
        <w:rPr>
          <w:bCs/>
          <w:sz w:val="24"/>
        </w:rPr>
        <w:t>If the Parties have not been able to resolve their dispute on or before the first Local Business Day following the date that the demand is made by the Secured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Local Business Day in accordance with the results of such recalculation.</w:t>
      </w:r>
    </w:p>
    <w:p>
      <w:pPr>
        <w:pStyle w:val="Normal"/>
        <w:spacing w:before="240" w:after="0"/>
        <w:ind w:firstLine="360" w:end="0"/>
        <w:jc w:val="both"/>
        <w:rPr>
          <w:b/>
          <w:sz w:val="24"/>
        </w:rPr>
      </w:pPr>
      <w:r>
        <w:rPr>
          <w:sz w:val="24"/>
        </w:rPr>
        <w:t xml:space="preserve">(b)  If the Secured Party disputes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 on the first Local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w:t>
      </w:r>
      <w:r>
        <w:rPr>
          <w:sz w:val="24"/>
        </w:rPr>
        <w:t xml:space="preserve">.  In all such cases, the Parties thereafter shall promptly consult with each other in order to reconcile the two conflicting amounts.  </w:t>
      </w:r>
      <w:r>
        <w:rPr>
          <w:bCs/>
          <w:sz w:val="24"/>
        </w:rPr>
        <w:t>If the Parties have not been able to resolve their dispute on or before the first Local Business Day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Local Business Day </w:t>
      </w:r>
      <w:r>
        <w:rPr>
          <w:sz w:val="24"/>
        </w:rPr>
        <w:t>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tabs>
          <w:tab w:val="clear" w:pos="720"/>
          <w:tab w:val="left" w:pos="0" w:leader="none"/>
        </w:tabs>
        <w:suppressAutoHyphens w:val="true"/>
        <w:ind w:start="720" w:end="0"/>
        <w:jc w:val="both"/>
        <w:rPr>
          <w:sz w:val="24"/>
        </w:rPr>
      </w:pPr>
      <w:r>
        <w:rPr>
          <w:sz w:val="24"/>
        </w:rPr>
        <w:tab/>
      </w:r>
    </w:p>
    <w:p>
      <w:pPr>
        <w:pStyle w:val="Normal"/>
        <w:tabs>
          <w:tab w:val="clear" w:pos="720"/>
          <w:tab w:val="left" w:pos="0" w:leader="none"/>
        </w:tabs>
        <w:suppressAutoHyphens w:val="true"/>
        <w:ind w:start="720" w:end="0"/>
        <w:jc w:val="both"/>
        <w:rPr>
          <w:sz w:val="24"/>
        </w:rPr>
      </w:pPr>
      <w:r>
        <w:rPr>
          <w:sz w:val="24"/>
        </w:rPr>
        <w:tab/>
        <w:t>(iii)</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pPr>
      <w:r>
        <w:rPr>
          <w:sz w:val="24"/>
          <w:szCs w:val="24"/>
        </w:rPr>
        <w:t>2.</w:t>
        <w:tab/>
        <w:t xml:space="preserve">“An Early Termination Date </w:t>
      </w:r>
      <w:r>
        <w:rPr>
          <w:sz w:val="24"/>
        </w:rPr>
        <w:t>(as defined in the Master Purchase and Sale Agreement dated as of ________ between beneficiary and Account Party, as the same may be amended (the “Master Agreement”))</w:t>
      </w:r>
      <w:r>
        <w:rPr>
          <w:sz w:val="24"/>
          <w:szCs w:val="24"/>
        </w:rPr>
        <w:t xml:space="preserve">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r>
        <w:rPr>
          <w:sz w:val="24"/>
        </w:rPr>
        <w:t>”.</w:t>
      </w:r>
    </w:p>
    <w:p>
      <w:pPr>
        <w:pStyle w:val="BodyTextIndent2"/>
        <w:tabs>
          <w:tab w:val="clear" w:pos="720"/>
          <w:tab w:val="left" w:pos="360"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sz w:val="24"/>
        </w:rPr>
      </w:pPr>
      <w:r>
        <w:rPr>
          <w:sz w:val="24"/>
        </w:rPr>
        <w:tab/>
        <w:t>This Letter of Credit shall expire on ________________.</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eastAsia="en-CA"/>
        </w:rPr>
      </w:pPr>
      <w:r>
        <w:rPr>
          <w:b/>
          <w:sz w:val="24"/>
        </w:rPr>
        <w:t>[</w:t>
      </w:r>
      <w:r>
        <w:rPr>
          <w:sz w:val="24"/>
        </w:rPr>
        <w:t>BANK SIGNATURE</w:t>
      </w:r>
      <w:r>
        <w:rPr>
          <w:b/>
          <w:sz w:val="24"/>
        </w:rPr>
        <w:t>]</w:t>
      </w:r>
    </w:p>
    <w:p>
      <w:pPr>
        <w:pStyle w:val="Normal"/>
        <w:rPr>
          <w:sz w:val="24"/>
          <w:lang w:val="en-CA" w:eastAsia="en-CA"/>
        </w:rPr>
      </w:pPr>
      <w:r>
        <w:rPr>
          <w:sz w:val="24"/>
          <w:lang w:val="en-CA" w:eastAsia="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/mnt/main-storage/datasets/enron-docs/doc/EEI_Collateral_Annex_Revised_10_19.doc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8:30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2001-10-19T17:39:00Z</dcterms:created>
  <dc:creator>formosos</dc:creator>
  <dc:description/>
  <dc:language>en-CA</dc:language>
  <cp:lastModifiedBy>cstclai</cp:lastModifiedBy>
  <cp:lastPrinted>2001-09-06T14:08:00Z</cp:lastPrinted>
  <dcterms:modified xsi:type="dcterms:W3CDTF">2001-11-05T12:59:00Z</dcterms:modified>
  <cp:revision>6</cp:revision>
  <dc:subject/>
  <dc:title>COLLATERAL ANNEX</dc:title>
</cp:coreProperties>
</file>